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VERMEG lanza una solución única para que la banca opere con el ECMS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noviembre de 2023, todas las interacciones relacionadas con la gestión de colaterales entre los bancos centrales y sus contrapartes se llevarán a cabo utilizando el sistema ECMS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VERMEG, firma líder de software especializada en soluciones tecnológicas que cubre tres segmentos del área de servicios financieros: Banca, Mercado de Capitales y Seguros, anuncia el lanzamiento de ‘EASY Collateral by VERMEG and #39; una solución, que permite a los bancos operar con el nuevo sistema de gestión de colateral ECMS (Eurosystem Collateral Management System).</w:t>
            </w:r>
          </w:p>
          <w:p>
            <w:pPr>
              <w:ind w:left="-284" w:right="-427"/>
              <w:jc w:val="both"/>
              <w:rPr>
                <w:rFonts/>
                <w:color w:val="262626" w:themeColor="text1" w:themeTint="D9"/>
              </w:rPr>
            </w:pPr>
            <w:r>
              <w:t>Se trata de un sistema unificado de gestión de activos utilizados como colateral o garantía en las operaciones de crédito del Eurosistema. Permitirá a las distintas entidades operar a través de un sistema único y remplazará los distintos sistemas locales. Asimismo, gestionará toda la posición de colateral y crédito de forma integrada, logrando la armonización del mercado y garantizando que el efectivo, los valores y las garantías fluyan libremente en toda Europa.</w:t>
            </w:r>
          </w:p>
          <w:p>
            <w:pPr>
              <w:ind w:left="-284" w:right="-427"/>
              <w:jc w:val="both"/>
              <w:rPr>
                <w:rFonts/>
                <w:color w:val="262626" w:themeColor="text1" w:themeTint="D9"/>
              </w:rPr>
            </w:pPr>
            <w:r>
              <w:t>La nueva solución modular  and #39;EASY Collateral by VERMEG and #39; permite a los bancos actualizar sus sistemas para garantizar la operativa con ECMS. Integrado por múltiples componentes, como eventos corporativos, reclamaciones de crédito, optimizador de colateral y nuevos mensajes ISO 20022, los bancos pueden usar toda la solución o implementar solo los componentes que necesiten.        </w:t>
            </w:r>
          </w:p>
          <w:p>
            <w:pPr>
              <w:ind w:left="-284" w:right="-427"/>
              <w:jc w:val="both"/>
              <w:rPr>
                <w:rFonts/>
                <w:color w:val="262626" w:themeColor="text1" w:themeTint="D9"/>
              </w:rPr>
            </w:pPr>
            <w:r>
              <w:t>Khaled Ben Abdeljelil, vicepresidente senior de producto de VERMEG, comenta: "Queda cerca de un año para la puesta en marcha de ECMS y los bancos deben priorizar la puesta en conformidad de sus sistemas internos y acometer las actualizaciones y modificaciones necesarias para garantizar su operativa con el nuevo sistema ECMS. Nuestro nuevo software  and #39;EASY Collateral by VERMEG and #39; ofrece a los bancos europeos la flexibilidad de una solución personalizada para actualizar sus sistemas internos, con soporte de toma de decisiones disponible una vez que ECMS esté activo, para ayudarlos a optimizar su gestión de garantías".</w:t>
            </w:r>
          </w:p>
          <w:p>
            <w:pPr>
              <w:ind w:left="-284" w:right="-427"/>
              <w:jc w:val="both"/>
              <w:rPr>
                <w:rFonts/>
                <w:color w:val="262626" w:themeColor="text1" w:themeTint="D9"/>
              </w:rPr>
            </w:pPr>
            <w:r>
              <w:t>Según Pablo Garmón Fernández, responsable de ventas de VERMEG en Iberia, "las soluciones han sido diseñadas para abordar los desafíos vinculados a la transformación de la industria de servicios financieros, pero también para apoyar a estos actores en la actualización de su sistema de información a través de reducciones de costes y un control del time to market".</w:t>
            </w:r>
          </w:p>
          <w:p>
            <w:pPr>
              <w:ind w:left="-284" w:right="-427"/>
              <w:jc w:val="both"/>
              <w:rPr>
                <w:rFonts/>
                <w:color w:val="262626" w:themeColor="text1" w:themeTint="D9"/>
              </w:rPr>
            </w:pPr>
            <w:r>
              <w:t>La migración a ECMS será en modo big bang (todos los equipos al mismo tiempo y de manera muy rápida) en noviembre de 2023, por lo que los bancos deben asegurarse de que sus sistemas están actualizados y han llevado a cabo las pruebas internas y de usuario adecuadas antes de la puesta en marcha de acuerdo con el calendario de migración impuesto por el Banco Central Europeo a todas las contrapartes.</w:t>
            </w:r>
          </w:p>
          <w:p>
            <w:pPr>
              <w:ind w:left="-284" w:right="-427"/>
              <w:jc w:val="both"/>
              <w:rPr>
                <w:rFonts/>
                <w:color w:val="262626" w:themeColor="text1" w:themeTint="D9"/>
              </w:rPr>
            </w:pPr>
            <w:r>
              <w:t>VERMEG se ha asociado con Euroclear para fomentar la comprensión de este cambio a través de un white paper que destaca que las facilidades de liquidez de los bancos centrales del Eurosistema dependen del papel vital que desempeñan los activos de garantía en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Murgas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638 57 29 61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https://www.notasdeprensa.es/vermeg-lanza-una-solucion-unica-para-que-la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