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UNICEF y la Fundación Probitas se unen para mejorar la salud en la Amazonía peruana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se implementará en el marco de Global Laboratory Initiative (GLI),  un programa de la Fundación Probitas para reforzar laboratorios básicos de diagnóstico clínico en las regiones más desfavorecidas del mundo a través de: la rehabilitación de espacios e infraestructuras básicas, la dotación de equipos de laboratorio, la formación del personal local y el fortalecimiento de la capacidad resolutiva y la gestión de laboratorio.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izquierda a derecha: Marta Segú, directora general de la Fundación Probitas; Consuelo Crespo, presidenta de UNICEF Comité Español; y Anna Folch, presidenta de UNICEF Comité Cataluña, tras la firma del convenio.</w:t>
            </w:r>
          </w:p>
          <w:p>
            <w:pPr>
              <w:ind w:left="-284" w:right="-427"/>
              <w:jc w:val="both"/>
              <w:rPr>
                <w:rFonts/>
                <w:color w:val="262626" w:themeColor="text1" w:themeTint="D9"/>
              </w:rPr>
            </w:pPr>
            <w:r>
              <w:t>	Con este fin, Probitas financiará con 250.000 euros el proyecto en Santa María de la Nieva (provincia de Condorcanqui) y San Lorenzo (Datem del Marañón), haciendo especial hicanpié en el enfoque cultural y en la formación de un equipo multidisciplinario para mejorar la atención materno-infantil y la mejora del diagnóstico y posterior tratamiento del VIH/SIDA entre la población indígena.</w:t>
            </w:r>
          </w:p>
          <w:p>
            <w:pPr>
              <w:ind w:left="-284" w:right="-427"/>
              <w:jc w:val="both"/>
              <w:rPr>
                <w:rFonts/>
                <w:color w:val="262626" w:themeColor="text1" w:themeTint="D9"/>
              </w:rPr>
            </w:pPr>
            <w:r>
              <w:t>	Perú ha registrado grandes avances en asuntos críticos para la infancia como la supervivencia, alcanzando el Objetivo de Desarrollo del Milenio 4 de reducir la mortalidad infantil en dos tercios antes de 2015. Aún así, en las áreas rurales del país las desigualdades son mayores: la mortalidad infantil es casi el doble que en las zonas urbanas; y la desnutrición crónica es tres veces superior (cinco en el caso de la selva).</w:t>
            </w:r>
          </w:p>
          <w:p>
            <w:pPr>
              <w:ind w:left="-284" w:right="-427"/>
              <w:jc w:val="both"/>
              <w:rPr>
                <w:rFonts/>
                <w:color w:val="262626" w:themeColor="text1" w:themeTint="D9"/>
              </w:rPr>
            </w:pPr>
            <w:r>
              <w:t>	En las provincias de Condorcanqui y Datem del Marañon, donde se desarrollará el proyecto, se concentran los indicadores sociales más bajos del país, con índices de desnutrición crónica en niños menores de cinco año del 42,2% y el y 25%, respectivamente.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https://www.notasdeprensa.es/unicef-y-la-fundacion-probitas-se-unen-para_1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