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apuesta por la sostenibilidad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Coincidiendo con el Día Mundial del Medio Ambiente, Danone reafirma su compromiso con el entorno y las personas anunciando su apuesta por reducir en un 50% sus emisiones de CO2 en los próximos seis años. Un objetivo, incluido en el Plan 2020 de la compañía, que se centrará en cuatro ejes principales: agricultura sostenible, embalajes, huella de carbono y huella hidráulica.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iniciativa Danone busca ahondar en su programa de mejora medioambiental que, entre 2007 y 2012, les ha permitido reducir en más de un 37% sus emisiones totales.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 Danone seguirá trabajando para transformar los residuos en recursos y usar materiales fabricados a partir de recursos sostenibles, intensificar la reducción del consumo energético disminuyendo el ratio de kWh por tonelada de producto, usar refrigerantes naturales y aplicar políticas de uso responsable de los recursos hídricos. Además, se compromete a llevar a cabo acciones que contribuya a tener una cadena de valor sostenible, actuando desde el origen de la materia prima como la leche y otros ingredientes.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Danone revaloriza actualmente el 95% de los residuos que genera al año y el reto es llegar a la totalidad, mejorando la gestión de aquellos residuos que pueden tener un futuro uso doméstico.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de esta política de revalorización y reutilización es la “nueva vida” dada a los residuos plásticos que se generan en las fábricas. A través de un acuerdo en el que están implicadas las empresas Saica, Acteco y Bic, además de Danone, los residuos que se generan al fabricar los yogures se utilizan para hacer lápices.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proceso, la empresa Saica recoge los residuos plásticos generados en las fábricas y los envía a Acteco, quien se encarga de reciclarlos y crea con ellos un material plástico en forma de pastilla (granza de poliestireno) que se emplea posteriormente en la fabricación de más de 50 millones de lápices Bic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el compromiso de Danone con el medio ambiente no es nuevo. Danone España fue la primera empresa alimentaria en adherirse a un Sistema de Gestión Ambiental de mejor continua, bajo la norma ISO 14001, en 1997. Y parte activa dentro del Plan Nature de la compañía, destinado a reducir la huella de carbono entre 2007 y 2012. Una acción que implicaba a todas las áreas de la empresa y que logró superar su objetivo con una reducción del 37,4% en la emisión de gases de efecto invernadero.</w:t>
            </w:r>
          </w:p>
             Compartir:            Fecha: 05/06/2014 | Categoría:Actualidad, Destacado home 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https://www.notasdeprensa.es/una-apuesta-por-la-sostenibilidad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Ecología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