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hablará sobre el diseño del ensayo VIRAGE, un estudio clínico de fase 2b de VCN-01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estudio ha sido administrado sistémicamente en combinación con quimioterapia para el adenocarcinoma pancreático ductal, en la Reunión Anual de la Sociedad Americana de Oncología Clínica (ASCO)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de fase clínica que desarrolla terapias diseñadas para tratar el cáncer y enfermedades relacionadas en áreas de gran carencia, ha anunciado hoy que, basándose en la solidez de la ciencia y su relevancia, VIRAGE —el ensayo clínico de fase 2b, aleatorizado, abierto, controlado con placebo y multicéntrico de VCN-01 administrado sistémicamente en combinación con quimioterapia de tratamiento estándar (gemcitabina/nab-paclitaxel) como tratamiento de primera línea para pacientes con adenocarcinoma ductal pancreático (PDAC) metastásico de diagnóstico reciente, ha sido aceptado para su presentación como póster de ensayo en curso en la Reunión Anual de la Sociedad Americana de Oncología Clínica (ASCO) de 2024, que se celebrará en Chicago, Illinois, del 31 de mayo al 4 de junio.</w:t>
            </w:r>
          </w:p>
          <w:p>
            <w:pPr>
              <w:ind w:left="-284" w:right="-427"/>
              <w:jc w:val="both"/>
              <w:rPr>
                <w:rFonts/>
                <w:color w:val="262626" w:themeColor="text1" w:themeTint="D9"/>
              </w:rPr>
            </w:pPr>
            <w:r>
              <w:t>Detalles de la presentación en ASCO</w:t>
            </w:r>
          </w:p>
          <w:p>
            <w:pPr>
              <w:ind w:left="-284" w:right="-427"/>
              <w:jc w:val="both"/>
              <w:rPr>
                <w:rFonts/>
                <w:color w:val="262626" w:themeColor="text1" w:themeTint="D9"/>
              </w:rPr>
            </w:pPr>
            <w:r>
              <w:t>Título: VIRAGE: Estudio de fase 2b, abierto, aleatorizado de nab-paclitaxel y gemcitabina y más/menos VCN-01 en pacientes con cáncer de páncreas metastásico</w:t>
            </w:r>
          </w:p>
          <w:p>
            <w:pPr>
              <w:ind w:left="-284" w:right="-427"/>
              <w:jc w:val="both"/>
              <w:rPr>
                <w:rFonts/>
                <w:color w:val="262626" w:themeColor="text1" w:themeTint="D9"/>
              </w:rPr>
            </w:pPr>
            <w:r>
              <w:t>Ponente: Dra. Rocío García-Carbonero</w:t>
            </w:r>
          </w:p>
          <w:p>
            <w:pPr>
              <w:ind w:left="-284" w:right="-427"/>
              <w:jc w:val="both"/>
              <w:rPr>
                <w:rFonts/>
                <w:color w:val="262626" w:themeColor="text1" w:themeTint="D9"/>
              </w:rPr>
            </w:pPr>
            <w:r>
              <w:t>Título de la sesión: Sesión de póster - Cáncer gastrointestinal: gastroesofágico, pancreático y hepatobiliar</w:t>
            </w:r>
          </w:p>
          <w:p>
            <w:pPr>
              <w:ind w:left="-284" w:right="-427"/>
              <w:jc w:val="both"/>
              <w:rPr>
                <w:rFonts/>
                <w:color w:val="262626" w:themeColor="text1" w:themeTint="D9"/>
              </w:rPr>
            </w:pPr>
            <w:r>
              <w:t>Fecha y hora de la sesión de pósteres: 1 de junio de 2024, de 13:30 a 16:30 horas CDT de EE. UU.</w:t>
            </w:r>
          </w:p>
          <w:p>
            <w:pPr>
              <w:ind w:left="-284" w:right="-427"/>
              <w:jc w:val="both"/>
              <w:rPr>
                <w:rFonts/>
                <w:color w:val="262626" w:themeColor="text1" w:themeTint="D9"/>
              </w:rPr>
            </w:pPr>
            <w:r>
              <w:t>Número de resumen: TPS4210</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Los principales candidatos de la Empresa son: (1) VCN-01, un adenovirus oncolítico diseñado para replicarse de forma selectiva y agresiva dentro de las células tumorales, y para degradar la barrera del estroma tumoral que sirve de importante barrera física e inmunosupresora para el tratamiento del cáncer; (2) SYN-004 (ribaxamasa), diseñado para degradar ciertos antibióticos betalactámicos IV de uso común en el tracto gastrointestinal (GI) con el fin de evitar daños en el microbioma, limitando así el crecimiento excesivo de organismos patógenos como los ERV (enterococos resistentes a la vancomicina) y reduciendo la incidencia y gravedad de la enfermedad aguda de injerto contra huésped (aGVHD, por sus siglas en inglés) en receptores de trasplantes alogénicos de células hematopoyéticas (TACH); y (3) SYN-020, una formulación oral recombinante de la enzima fosfatasa alcalina intestinal (FAI) producida en condiciones cGMP (buenas prácticas comerciales actuales) y destinada a tratar tanto enfermedades GI locales como sistémicas. Más información en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https://www.notasdeprensa.es/theriva-biologics-hablara-sobre-el-diseno-del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Investigación Científica Industria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