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Extremadura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Repara tu deuda Abogados más de 93 personas en Extremadura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Extremadura se sitúa en la penúltima posición del ranking de casos solicitados por comunidad autónoma con el 0,88 %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Extremadura son más de 93 las personas en situación de sobre endeudamiento que se han solicitado acogerse a la Ley de la Segunda Oportunidad, lo que representa el 0,88 % del total en España. De todos los casos tramitados en dicha comunidad, el 83 % los ha llevado a cabo Repara tu Deuda, despacho de abogados que inició su actividad el mismo año que entró en vigor la ley en 2015. Este balance sitúa a la Comunidad de Extremadura en el último puesto del ranking nacional, por detrás de Cataluña (3954 solicitudes), Madrid (1674), Valencia(984), Andalucía (805), Aragón (589), Islas Baleares (348), Castilla León (325), Galicia (315), Castilla la Mancha (267), Murcia (233), País Vasco (231), Asturias (227), Canarias (145), La Rioja (134) y Navarra (123).</w:t>
            </w:r>
          </w:p>
          <w:p>
            <w:pPr>
              <w:ind w:left="-284" w:right="-427"/>
              <w:jc w:val="both"/>
              <w:rPr>
                <w:rFonts/>
                <w:color w:val="262626" w:themeColor="text1" w:themeTint="D9"/>
              </w:rPr>
            </w:pPr>
            <w:r>
              <w:t>De los 10.515 casos en España , Repara tu deuda ha gestionado más del 80%,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p>
            <w:pPr>
              <w:ind w:left="-284" w:right="-427"/>
              <w:jc w:val="both"/>
              <w:rPr>
                <w:rFonts/>
                <w:color w:val="262626" w:themeColor="text1" w:themeTint="D9"/>
              </w:rPr>
            </w:pPr>
            <w:r>
              <w:t>El Producto Interior Bruto (PIB) de Extremadura creció el pasado año el 2%, seis décimas por debajo de la media nacional, según la Contabilidad Regional de España publicada este lunes por el Instituto Nacional de Estadística. En cuanto al PIB per cápita en Extremadura, este creció un 3,5% en tasa anual, hasta 18.174 euros por habitante, aunque es el más bajo de España, un 29,7% menos que la media nacional.</w:t>
            </w:r>
          </w:p>
          <w:p>
            <w:pPr>
              <w:ind w:left="-284" w:right="-427"/>
              <w:jc w:val="both"/>
              <w:rPr>
                <w:rFonts/>
                <w:color w:val="262626" w:themeColor="text1" w:themeTint="D9"/>
              </w:rPr>
            </w:pPr>
            <w:r>
              <w:t>Según el Instituto de Estadística de Extremadura (IEEx), si se analiza el reparto por grandes sectores de la actividad en el año 2018, el primario (agricultura y ganadería) representa el 8,6% del valor añadido bruto regional, la industria alcanza un peso del 14,5% y la construcción del 7,9% y los servicios representa el 69,1% del sector productivo extremeño en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https://www.notasdeprensa.es/segun-repara-tu-deuda-abogados-mas-de-93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