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Eibar el 20/09/2021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ScrapAd cierra su primera ronda de financiación de 1.000.000 € y consolida su expansión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ScrapAd están de enhorabuena. Han consolidado su papel clave en la digitalización del sector logrando su primera ronda de financiación que asciende a 1.000.000€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ronda han contado con la confianza de empresas de gran reputación junto con un fondo de inversión y que, sumado al capital conseguido previamente, les da una gran robustez económica para afrontar un ambicioso plan de crecimiento y expansión.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mantener un crecimiento exponencial durante el último año, esta ronda consolida su posición, además de impulsar la expansión a países clave y acelerar la implementación de nuevas funcionalidades muy atractivas que brindarán un gran valor agregado a las empresas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ScrapAdEn ScrapAd inician su andadura el pasado año revolucionando un “sector tradicional, local y poco digitalizado” como es el de la compraventa de residuos y materiales de desecho, abriendo “una ventana al mundo, creando el mejor destino para cualquier residuo” potenciando así la economía circular.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marketplace global para la compraventa de material reciclable está basado en una plataforma inteligente de última generación, que ofrece a los usuarios verificados del sector un entorno profesional y seguro en el que gestionar de forma sencilla anuncios de compra o de venta de sus materiales.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Comunicación de ScrapAd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943558628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https://www.notasdeprensa.es/scrapad-cierra-su-primera-ronda-de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Ecología Emprendedores E-Commerce Otras Industrias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