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como la empresa más premiada de Europa por los premios de Institutional Investor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mundial en la transformación digital de la gestión de la energía y la automatización, ha sido reconocida en los premios Developed Europe Executive Team Awards 2022 de Institutional Investor como la empresa más galardonada de Europa con 7 primeros puestos en diferentes categorías y la mejor empresa en relaciones con los inversores en el sector industrial (que abarca el sector aeroespacial y de defensa, bienes de equipo, transporte y servicios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de 2022 también incluyen el de Mejor Director General para Jean-Pascal Tricoire, Chairman  and  CEO de Schneider Electric, el de Mejor Director Financiero para Hilary Maxson, CFO de Schneider Electric Group, y el de Mejor Profesional de Relaciones con Inversores para Amit Bhalla, Senior Vice President of Investor Relations de Schneider Electric, en el sector de Bienes de Capital. La empresa también ha sido reconocida como Mejor ESG y Mejor Consejo de Administración en su sector. </w:t>
            </w:r>
          </w:p>
          <w:p>
            <w:pPr>
              <w:ind w:left="-284" w:right="-427"/>
              <w:jc w:val="both"/>
              <w:rPr>
                <w:rFonts/>
                <w:color w:val="262626" w:themeColor="text1" w:themeTint="D9"/>
              </w:rPr>
            </w:pPr>
            <w:r>
              <w:t>El ranking anual de Institutional Investor Research mide la eficacia y el alcance de las relaciones con los inversores de las empresas europeas. El equipo de Institutional Investor encuestó a analistas de inversiones, gestores de capital y analistas bursátiles en firmas de valores e instituciones financieras que operan en Europa. Los resultados de la encuesta reflejan las opiniones de 1.380 profesionales de inversión de 632 empresas de servicios financieros. </w:t>
            </w:r>
          </w:p>
          <w:p>
            <w:pPr>
              <w:ind w:left="-284" w:right="-427"/>
              <w:jc w:val="both"/>
              <w:rPr>
                <w:rFonts/>
                <w:color w:val="262626" w:themeColor="text1" w:themeTint="D9"/>
              </w:rPr>
            </w:pPr>
            <w:r>
              <w:t>Schneider Electric ha acelerado sus propios esfuerzos de sostenibilidad desde 2021 con el lanzamiento de su nuevo programa Schneider Sustainability Impact (SSI) para 2021-2025. Schneider Electric también ha reforzado su negocio de consultoría de sostenibilidad para apoyar a más partners y clientes en su propia transformación sostenible. </w:t>
            </w:r>
          </w:p>
          <w:p>
            <w:pPr>
              <w:ind w:left="-284" w:right="-427"/>
              <w:jc w:val="both"/>
              <w:rPr>
                <w:rFonts/>
                <w:color w:val="262626" w:themeColor="text1" w:themeTint="D9"/>
              </w:rPr>
            </w:pPr>
            <w:r>
              <w:t>Esta doble estrategia de sostenibilidad apoya los objetivos de crecimiento compartidas con los inversores durante la Asamblea General Anual de Schneider Electric de 2022. Los excelentes resultados en ESG corroboran las importantes ambiciones de crecimiento del Grupo en relación con la sostenibilidad. </w:t>
            </w:r>
          </w:p>
          <w:p>
            <w:pPr>
              <w:ind w:left="-284" w:right="-427"/>
              <w:jc w:val="both"/>
              <w:rPr>
                <w:rFonts/>
                <w:color w:val="262626" w:themeColor="text1" w:themeTint="D9"/>
              </w:rPr>
            </w:pPr>
            <w:r>
              <w:t>Acerca de Schneider ElectricSu misión es ser el socio digital en sostenibilidad y eficiencia.</w:t>
            </w:r>
          </w:p>
          <w:p>
            <w:pPr>
              <w:ind w:left="-284" w:right="-427"/>
              <w:jc w:val="both"/>
              <w:rPr>
                <w:rFonts/>
                <w:color w:val="262626" w:themeColor="text1" w:themeTint="D9"/>
              </w:rPr>
            </w:pPr>
            <w:r>
              <w:t>Impulsan la transformación digital mediante la integración de tecnologías energéticas y de procesos líderes a nivel mundial, productos de conexión de punto final a la nube, controles, software y servicios a lo largo de todo el ciclo de vida, lo que permite una gestión integrada para empresas, hogares, edificios, centros de datos, infraestructuras e industrias.</w:t>
            </w:r>
          </w:p>
          <w:p>
            <w:pPr>
              <w:ind w:left="-284" w:right="-427"/>
              <w:jc w:val="both"/>
              <w:rPr>
                <w:rFonts/>
                <w:color w:val="262626" w:themeColor="text1" w:themeTint="D9"/>
              </w:rPr>
            </w:pPr>
            <w:r>
              <w:t>Son la empresa más local de las empresas internacionales. Son partidarios de estándares abiertos y ecosistemas de asociación que comparten con pasión su valioso objetivo y sus valores de inclusión y empoderamiento.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https://www.notasdeprensa.es/schneider-electric-reconocida-como-la-empresa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Sostenibilidad Premios Industria Téxtil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