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se asegura el abastecimiento a largo plazo de electricidad solar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ha cerrado un acuerdo con Statkraft Markets GmbH y el 11 por ciento de su consumo eléctrico en Alemania será de origen fotovoltaico. El contrato de compraventa de energía tendrá una duración de diez años, a partir de 2023. Este acuerdo de suministro supone un paso importante en la apuesta por alcanzar una producción climáticamente neutra en 2030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el proveedor global de los sectores de la automoción y la industria, ha cerrado un contrato de compraventa de energía a largo plazo con Statkraft Markets GmbH, un productor internacional líder en el ámbito de las energías renovables. A partir de 2023, Schaeffler recibirá energía fotovoltaica de Statkraft. El volumen que se suministrará supone un 11 por ciento del consumo total de electricidad de Schaeffler en Alemania, hecho que constituye un paso adelante crucial en la apuesta de la empresa por conseguir una neutralidad climática completa en sus operaciones de producción propia (Alcances 1 y 2) para 2030. Schaeffler también operará de manera climáticamente neutra en el área de la cadena previa de creación de valor (Alcance 3), de tal manera que conseguirá una neutralidad climática total para 2040. La electricidad suministrada equivale, aproximadamente, a los requisitos anuales de la planta en la sede central de Schaeffler AG en la ciudad de Herzogenaurach ubicada en la región alemana de Franconia.</w:t>
            </w:r>
          </w:p>
          <w:p>
            <w:pPr>
              <w:ind w:left="-284" w:right="-427"/>
              <w:jc w:val="both"/>
              <w:rPr>
                <w:rFonts/>
                <w:color w:val="262626" w:themeColor="text1" w:themeTint="D9"/>
              </w:rPr>
            </w:pPr>
            <w:r>
              <w:t>Andreas Schick, Chief Operating Officer de Schaeffler AG, ha dicho: "El contrato de suministro con Statkraft supone un hito para Schaeffler. Demuestra que nos tomamos en serio la sostenibilidad y que, fieles al lema ‘Green Makes the Difference’ (El verde marca la diferencia), estamos firmemente comprometidos con la consecución de un futuro mejor y más sostenible. Statkraft es una empresa pionera en el campo de las energías renovables y va a demostrar que es un partner fiable con el que reduciremos las emisiones de gases de efecto invernadero a lo largo y ancho de nuestra red de producción. El contrato de compraventa de energía ilustra nuestro planteamiento integral en el área de la sostenibilidad, al mismo tiempo que garantiza los futuros requisitos de energía verde de nuestras plantas alemanas a unos precios calculables".</w:t>
            </w:r>
          </w:p>
          <w:p>
            <w:pPr>
              <w:ind w:left="-284" w:right="-427"/>
              <w:jc w:val="both"/>
              <w:rPr>
                <w:rFonts/>
                <w:color w:val="262626" w:themeColor="text1" w:themeTint="D9"/>
              </w:rPr>
            </w:pPr>
            <w:r>
              <w:t>"Nos complace sobremanera contribuir a los objetivos de sostenibilidad de Schaeffler AG mediante este contrato de compraventa de energía verde", ha dicho el Dr. Carsten Poppinga, Senior Vice President Trading  and  Origination en Statkraft. "Nuestro negocio principal consiste en abastecer a empresas industriales con soluciones de energía verde de alta calidad y adaptadas al cliente. Asimismo, los contratos de energía verde constituyen una verdadera alternativa de cobertura respecto a los contratos de suministro de energías convencionales, en épocas de precios energéticos elevados y muy volátiles".</w:t>
            </w:r>
          </w:p>
          <w:p>
            <w:pPr>
              <w:ind w:left="-284" w:right="-427"/>
              <w:jc w:val="both"/>
              <w:rPr>
                <w:rFonts/>
                <w:color w:val="262626" w:themeColor="text1" w:themeTint="D9"/>
              </w:rPr>
            </w:pPr>
            <w:r>
              <w:t>Producción climáticamente neutra a partir de 2030Schaeffler presta particular atención a la sostenibilidad y se ha comprometido con el objetivo de 1,5 grados, definido por el Acuerdo de París, una misión esencial en la que, objetivos climáticos ambiciosos que abarquen toda la empresa, desempeñarán un papel complementario indispensable. En su propósito de alcanzar la neutralidad climática en las operaciones internas de producción (Alcances 1 y 2) a partir de 2030, Schaeffler recurre, principalmente, a medidas de reducción y al uso de energías renovables, de modo que se propone recortar en tres cuartas partes sus emisiones de producción para 2025. Por ejemplo, como parte de su programa de eficiencia energética, a partir de 2022 se alcanzará un ahorro total de unos 47 gigavatios-hora anuales.</w:t>
            </w:r>
          </w:p>
          <w:p>
            <w:pPr>
              <w:ind w:left="-284" w:right="-427"/>
              <w:jc w:val="both"/>
              <w:rPr>
                <w:rFonts/>
                <w:color w:val="262626" w:themeColor="text1" w:themeTint="D9"/>
              </w:rPr>
            </w:pPr>
            <w:r>
              <w:t>Desde 2020 y 2021, respectivamente, todas las ubicaciones de producción alemanas y todos los emplazamientos de producción dentro de la Unión Europea, obtienen el cien por cien de su electricidad de fuentes de energía renovable. Para 2024, todos los emplazamientos del mundo adquirirán el cien por cien de su electricidad de fuentes de energía renovable. El proyecto actual con Statkraft incluso va un paso más allá, puesto que permite que el Grupo Schaeffler participe en nuevos contratos de compraventa de energía que están orientados a instalaciones de producción específicas para las energías renovables.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+34 93 480 36 77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https://www.notasdeprensa.es/schaeffler-se-asegura-el-abastecimiento-a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