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Roche presentará en ESMO14 estudios clave para frenar el cáncer de mama y melanoma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medicamentos de la compañía protagonizan más de 160 presentaciones
en 15 tipos de tumor en el Congreso de la Sociedad Europea de Oncología Médica (ESMO)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reunión de Madrid se conocerán los datos finales de supervivencia global del estudio fase III CLEOPATRA que confirma el potencial de la combinación de los anticuerpos Herceptin y Pertuzumab (Perjeta®) en cáncer de mama metastásico HER2 positivo </w:t>
            </w:r>
          </w:p>
          <w:p>
            <w:pPr>
              <w:ind w:left="-284" w:right="-427"/>
              <w:jc w:val="both"/>
              <w:rPr>
                <w:rFonts/>
                <w:color w:val="262626" w:themeColor="text1" w:themeTint="D9"/>
              </w:rPr>
            </w:pPr>
            <w:r>
              <w:t>		Datos de eficacia de dos estudios fase III con Bevacizumab (Avastin®) en cáncer de mama HER2 negativo permitirán determinar el potencial del antiangiogénico en este tipo de tumor</w:t>
            </w:r>
          </w:p>
          <w:p>
            <w:pPr>
              <w:ind w:left="-284" w:right="-427"/>
              <w:jc w:val="both"/>
              <w:rPr>
                <w:rFonts/>
                <w:color w:val="262626" w:themeColor="text1" w:themeTint="D9"/>
              </w:rPr>
            </w:pPr>
            <w:r>
              <w:t>		Los datos del estudio coBRIM que combina la terapia personalizada Vemurafenib (Zelboraf®) con el inhibidor de MEK en investigación Cobimetinib en pacientes con melanoma avanzado podrían sentar las bases para un nuevo tratamiento de referencia</w:t>
            </w:r>
          </w:p>
          <w:p>
            <w:pPr>
              <w:ind w:left="-284" w:right="-427"/>
              <w:jc w:val="both"/>
              <w:rPr>
                <w:rFonts/>
                <w:color w:val="262626" w:themeColor="text1" w:themeTint="D9"/>
              </w:rPr>
            </w:pPr>
            <w:r>
              <w:t>		Se conocerán nuevos datos de estudios fase I con la inmunoterapia anti-PD-L1 MPDL3280A en diferentes tipos de cáncer </w:t>
            </w:r>
          </w:p>
          <w:p>
            <w:pPr>
              <w:ind w:left="-284" w:right="-427"/>
              <w:jc w:val="both"/>
              <w:rPr>
                <w:rFonts/>
                <w:color w:val="262626" w:themeColor="text1" w:themeTint="D9"/>
              </w:rPr>
            </w:pPr>
            <w:r>
              <w:t>		La oncología española tiene una amplia participación en estos y otros estudios con tratamientos de la compañía presentados en el Congreso</w:t>
            </w:r>
          </w:p>
          <w:p>
            <w:pPr>
              <w:ind w:left="-284" w:right="-427"/>
              <w:jc w:val="both"/>
              <w:rPr>
                <w:rFonts/>
                <w:color w:val="262626" w:themeColor="text1" w:themeTint="D9"/>
              </w:rPr>
            </w:pPr>
            <w:r>
              <w:t>	Madrid, 18 de septiembre de 2014.- Roche presentará en el Congreso de la Sociedad Europea de Oncología Médica (ESMO) datos de varios estudios clave contra el cáncer de mama y el melanoma que pueden cambiar la práctica clínica de estas enfermedades en fase avanzada. En la reunión, que este año se celebra en Madrid entre los días 26 y 30 de septiembre, los tratamientos, tanto en desarrollo como experimentales, de la compañía suiza protagonizan más de 160 presentaciones científicas para 15 tipos distintos de cáncer. Entre los trabajos aceptados, 27 son orales y de ellos dos forman parte de la sesión plenaria del Congreso.</w:t>
            </w:r>
          </w:p>
          <w:p>
            <w:pPr>
              <w:ind w:left="-284" w:right="-427"/>
              <w:jc w:val="both"/>
              <w:rPr>
                <w:rFonts/>
                <w:color w:val="262626" w:themeColor="text1" w:themeTint="D9"/>
              </w:rPr>
            </w:pPr>
            <w:r>
              <w:t>	Como señala la directora médica y responsable de Desarrollo Global de Productos de Roche, Sandra Horning, "los datos que se presentan en Madrid son el mejor ejemplo de que seguimos avanzando en la comprensión de qué pacientes pueden obtener el mayor beneficio terapéutico de nuestros tratamientos. Los resultados que vamos a conocer los próximos días sobre nuevas estrategias y combinaciones permiten vislumbrar lo que podrían ser pronto nuevas opciones para muchos pacientes”. </w:t>
            </w:r>
          </w:p>
          <w:p>
            <w:pPr>
              <w:ind w:left="-284" w:right="-427"/>
              <w:jc w:val="both"/>
              <w:rPr>
                <w:rFonts/>
                <w:color w:val="262626" w:themeColor="text1" w:themeTint="D9"/>
              </w:rPr>
            </w:pPr>
            <w:r>
              <w:t>	Cáncer de mama y melanoma entre los estudios</w:t>
            </w:r>
          </w:p>
          <w:p>
            <w:pPr>
              <w:ind w:left="-284" w:right="-427"/>
              <w:jc w:val="both"/>
              <w:rPr>
                <w:rFonts/>
                <w:color w:val="262626" w:themeColor="text1" w:themeTint="D9"/>
              </w:rPr>
            </w:pPr>
            <w:r>
              <w:t>	Entre los estudios más esperados del Congreso, figura el estudio fase III CLEOPATRA, del que se van a conocer los resultados finales de supervivencia global con la combinación de los anticuerpos Trastuzumab (Herceptin®) y Pertuzumab (Perjeta®) en tumores HER2 positivo en fase avanzada. También en el tumor de mama, pero en el HER2 negativo, concretamente en el perfil de tumor de evolución más agresiva y más necesitado de nuevas estrategias, se van a difundir datos con el antiangiogénico Bevacizumab (Avastin®). Otro estudio destacado por el programa oficial del Congreso es el coBRIM, que combina con la terapia personalizada Vemurafenib (Zelboraf®) un inhibidor de MEK en investigación, Cobimetinib, en pacientes con melanoma avanzado. El objetivo es prolongar el control de la enfermedad durante más tiempo. La oncología española ha tenido y tiene una amplia implicación en el diseño y participación de estos estudios.</w:t>
            </w:r>
          </w:p>
          <w:p>
            <w:pPr>
              <w:ind w:left="-284" w:right="-427"/>
              <w:jc w:val="both"/>
              <w:rPr>
                <w:rFonts/>
                <w:color w:val="262626" w:themeColor="text1" w:themeTint="D9"/>
              </w:rPr>
            </w:pPr>
            <w:r>
              <w:t>	Principales estudios</w:t>
            </w:r>
          </w:p>
          <w:p>
            <w:pPr>
              <w:ind w:left="-284" w:right="-427"/>
              <w:jc w:val="both"/>
              <w:rPr>
                <w:rFonts/>
                <w:color w:val="262626" w:themeColor="text1" w:themeTint="D9"/>
              </w:rPr>
            </w:pPr>
            <w:r>
              <w:t>	Fármaco</w:t>
            </w:r>
          </w:p>
          <w:p>
            <w:pPr>
              <w:ind w:left="-284" w:right="-427"/>
              <w:jc w:val="both"/>
              <w:rPr>
                <w:rFonts/>
                <w:color w:val="262626" w:themeColor="text1" w:themeTint="D9"/>
              </w:rPr>
            </w:pPr>
            <w:r>
              <w:t>	Descripción del estudio </w:t>
            </w:r>
          </w:p>
          <w:p>
            <w:pPr>
              <w:ind w:left="-284" w:right="-427"/>
              <w:jc w:val="both"/>
              <w:rPr>
                <w:rFonts/>
                <w:color w:val="262626" w:themeColor="text1" w:themeTint="D9"/>
              </w:rPr>
            </w:pPr>
            <w:r>
              <w:t>	Nº y fecha</w:t>
            </w:r>
          </w:p>
          <w:p>
            <w:pPr>
              <w:ind w:left="-284" w:right="-427"/>
              <w:jc w:val="both"/>
              <w:rPr>
                <w:rFonts/>
                <w:color w:val="262626" w:themeColor="text1" w:themeTint="D9"/>
              </w:rPr>
            </w:pPr>
            <w:r>
              <w:t>	Avastin®</w:t>
            </w:r>
          </w:p>
          <w:p>
            <w:pPr>
              <w:ind w:left="-284" w:right="-427"/>
              <w:jc w:val="both"/>
              <w:rPr>
                <w:rFonts/>
                <w:color w:val="262626" w:themeColor="text1" w:themeTint="D9"/>
              </w:rPr>
            </w:pPr>
            <w:r>
              <w:t>	(Bevacizumab) + Xeloda® (Capecitabina)</w:t>
            </w:r>
          </w:p>
          <w:p>
            <w:pPr>
              <w:ind w:left="-284" w:right="-427"/>
              <w:jc w:val="both"/>
              <w:rPr>
                <w:rFonts/>
                <w:color w:val="262626" w:themeColor="text1" w:themeTint="D9"/>
              </w:rPr>
            </w:pPr>
            <w:r>
              <w:t>	Eficacia y seguridad de la terapia de mantenimiento con Bevacizumab, con o sin Capecitabina, tras un tratamiento inicial con Bevacizumab y docetaxel para cáncer de mama metastásico HER2-negativo: estudio randomizado fase III IMELDA</w:t>
            </w:r>
          </w:p>
          <w:p>
            <w:pPr>
              <w:ind w:left="-284" w:right="-427"/>
              <w:jc w:val="both"/>
              <w:rPr>
                <w:rFonts/>
                <w:color w:val="262626" w:themeColor="text1" w:themeTint="D9"/>
              </w:rPr>
            </w:pPr>
            <w:r>
              <w:t>	Estudio fase III TANIA randomizado de eficacia y seguridad, que evalúa el tratamiento con Bevacizumab continuado o “reintroducido” tras una primera línea de Bevacizumab en cáncer de mama metastásico o localmente recurrente HER2-negativo</w:t>
            </w:r>
          </w:p>
          <w:p>
            <w:pPr>
              <w:ind w:left="-284" w:right="-427"/>
              <w:jc w:val="both"/>
              <w:rPr>
                <w:rFonts/>
                <w:color w:val="262626" w:themeColor="text1" w:themeTint="D9"/>
              </w:rPr>
            </w:pPr>
            <w:r>
              <w:t>	#352O</w:t>
            </w:r>
          </w:p>
          <w:p>
            <w:pPr>
              <w:ind w:left="-284" w:right="-427"/>
              <w:jc w:val="both"/>
              <w:rPr>
                <w:rFonts/>
                <w:color w:val="262626" w:themeColor="text1" w:themeTint="D9"/>
              </w:rPr>
            </w:pPr>
            <w:r>
              <w:t>	Domingo 28 de septiembre,14:10 h</w:t>
            </w:r>
          </w:p>
          <w:p>
            <w:pPr>
              <w:ind w:left="-284" w:right="-427"/>
              <w:jc w:val="both"/>
              <w:rPr>
                <w:rFonts/>
                <w:color w:val="262626" w:themeColor="text1" w:themeTint="D9"/>
              </w:rPr>
            </w:pPr>
            <w:r>
              <w:t>	   </w:t>
            </w:r>
          </w:p>
          <w:p>
            <w:pPr>
              <w:ind w:left="-284" w:right="-427"/>
              <w:jc w:val="both"/>
              <w:rPr>
                <w:rFonts/>
                <w:color w:val="262626" w:themeColor="text1" w:themeTint="D9"/>
              </w:rPr>
            </w:pPr>
            <w:r>
              <w:t>	#353O</w:t>
            </w:r>
          </w:p>
          <w:p>
            <w:pPr>
              <w:ind w:left="-284" w:right="-427"/>
              <w:jc w:val="both"/>
              <w:rPr>
                <w:rFonts/>
                <w:color w:val="262626" w:themeColor="text1" w:themeTint="D9"/>
              </w:rPr>
            </w:pPr>
            <w:r>
              <w:t>	Domingo 28 de septiembre, 14:10 h</w:t>
            </w:r>
          </w:p>
          <w:p>
            <w:pPr>
              <w:ind w:left="-284" w:right="-427"/>
              <w:jc w:val="both"/>
              <w:rPr>
                <w:rFonts/>
                <w:color w:val="262626" w:themeColor="text1" w:themeTint="D9"/>
              </w:rPr>
            </w:pPr>
            <w:r>
              <w:t>	Perjeta®</w:t>
            </w:r>
          </w:p>
          <w:p>
            <w:pPr>
              <w:ind w:left="-284" w:right="-427"/>
              <w:jc w:val="both"/>
              <w:rPr>
                <w:rFonts/>
                <w:color w:val="262626" w:themeColor="text1" w:themeTint="D9"/>
              </w:rPr>
            </w:pPr>
            <w:r>
              <w:t>	(Pertuzumab) + Herceptin® (Trastuzumab)</w:t>
            </w:r>
          </w:p>
          <w:p>
            <w:pPr>
              <w:ind w:left="-284" w:right="-427"/>
              <w:jc w:val="both"/>
              <w:rPr>
                <w:rFonts/>
                <w:color w:val="262626" w:themeColor="text1" w:themeTint="D9"/>
              </w:rPr>
            </w:pPr>
            <w:r>
              <w:t>	Análisis final de supervivencia global en el estudio CLEOPATRA sobre el tratamiento en primera línea con Pertuzumab, Trastuzumab y docetaxel en pacientes con cáncer de mama metastásico HER2-positivo</w:t>
            </w:r>
          </w:p>
          <w:p>
            <w:pPr>
              <w:ind w:left="-284" w:right="-427"/>
              <w:jc w:val="both"/>
              <w:rPr>
                <w:rFonts/>
                <w:color w:val="262626" w:themeColor="text1" w:themeTint="D9"/>
              </w:rPr>
            </w:pPr>
            <w:r>
              <w:t>	#350O_PR</w:t>
            </w:r>
          </w:p>
          <w:p>
            <w:pPr>
              <w:ind w:left="-284" w:right="-427"/>
              <w:jc w:val="both"/>
              <w:rPr>
                <w:rFonts/>
                <w:color w:val="262626" w:themeColor="text1" w:themeTint="D9"/>
              </w:rPr>
            </w:pPr>
            <w:r>
              <w:t>	Simposio presidencial 1, domingo 28 de septiembre, 16:00 h</w:t>
            </w:r>
          </w:p>
          <w:p>
            <w:pPr>
              <w:ind w:left="-284" w:right="-427"/>
              <w:jc w:val="both"/>
              <w:rPr>
                <w:rFonts/>
                <w:color w:val="262626" w:themeColor="text1" w:themeTint="D9"/>
              </w:rPr>
            </w:pPr>
            <w:r>
              <w:t>	Cobimetinib</w:t>
            </w:r>
          </w:p>
          <w:p>
            <w:pPr>
              <w:ind w:left="-284" w:right="-427"/>
              <w:jc w:val="both"/>
              <w:rPr>
                <w:rFonts/>
                <w:color w:val="262626" w:themeColor="text1" w:themeTint="D9"/>
              </w:rPr>
            </w:pPr>
            <w:r>
              <w:t>	(inhibidor de  MEK en investigación) + Zelboraf® (Vemurafenib)</w:t>
            </w:r>
          </w:p>
          <w:p>
            <w:pPr>
              <w:ind w:left="-284" w:right="-427"/>
              <w:jc w:val="both"/>
              <w:rPr>
                <w:rFonts/>
                <w:color w:val="262626" w:themeColor="text1" w:themeTint="D9"/>
              </w:rPr>
            </w:pPr>
            <w:r>
              <w:t>	Estudio fase III coBRIM, doble ciego y controlado con placebo que compara Vemurafenib en monoterapia frente a Vemurafenib más Cobimetinib en pacientes con melanoma localmente avanzado o metastásico inoperable no tratado previamente y con mutación BRAFV600 (NCT01689519)</w:t>
            </w:r>
          </w:p>
          <w:p>
            <w:pPr>
              <w:ind w:left="-284" w:right="-427"/>
              <w:jc w:val="both"/>
              <w:rPr>
                <w:rFonts/>
                <w:color w:val="262626" w:themeColor="text1" w:themeTint="D9"/>
              </w:rPr>
            </w:pPr>
            <w:r>
              <w:t>	#LBA5_PR</w:t>
            </w:r>
          </w:p>
          <w:p>
            <w:pPr>
              <w:ind w:left="-284" w:right="-427"/>
              <w:jc w:val="both"/>
              <w:rPr>
                <w:rFonts/>
                <w:color w:val="262626" w:themeColor="text1" w:themeTint="D9"/>
              </w:rPr>
            </w:pPr>
            <w:r>
              <w:t>	Simposio presidencial 2, lunes 29 de septiembre, 16:00 h</w:t>
            </w:r>
          </w:p>
          <w:p>
            <w:pPr>
              <w:ind w:left="-284" w:right="-427"/>
              <w:jc w:val="both"/>
              <w:rPr>
                <w:rFonts/>
                <w:color w:val="262626" w:themeColor="text1" w:themeTint="D9"/>
              </w:rPr>
            </w:pPr>
            <w:r>
              <w:t>	MPDL3280A (anti-PD-L1 en investigación)</w:t>
            </w:r>
          </w:p>
          <w:p>
            <w:pPr>
              <w:ind w:left="-284" w:right="-427"/>
              <w:jc w:val="both"/>
              <w:rPr>
                <w:rFonts/>
                <w:color w:val="262626" w:themeColor="text1" w:themeTint="D9"/>
              </w:rPr>
            </w:pPr>
            <w:r>
              <w:t>	Seguridad y eficacia de la inmunoterapia MPDL3280A (anti-PDL1) en combinación con Bevacizumab y/o quimioterapia en pacientes con tumores sólidos localmente avanzados o metastásicos</w:t>
            </w:r>
          </w:p>
          <w:p>
            <w:pPr>
              <w:ind w:left="-284" w:right="-427"/>
              <w:jc w:val="both"/>
              <w:rPr>
                <w:rFonts/>
                <w:color w:val="262626" w:themeColor="text1" w:themeTint="D9"/>
              </w:rPr>
            </w:pPr>
            <w:r>
              <w:t>	Inhibición de PD-L1 con MPDL3280A para generar actividad clínica en cáncer de vejiga metastásico</w:t>
            </w:r>
          </w:p>
          <w:p>
            <w:pPr>
              <w:ind w:left="-284" w:right="-427"/>
              <w:jc w:val="both"/>
              <w:rPr>
                <w:rFonts/>
                <w:color w:val="262626" w:themeColor="text1" w:themeTint="D9"/>
              </w:rPr>
            </w:pPr>
            <w:r>
              <w:t>	   </w:t>
            </w:r>
          </w:p>
          <w:p>
            <w:pPr>
              <w:ind w:left="-284" w:right="-427"/>
              <w:jc w:val="both"/>
              <w:rPr>
                <w:rFonts/>
                <w:color w:val="262626" w:themeColor="text1" w:themeTint="D9"/>
              </w:rPr>
            </w:pPr>
            <w:r>
              <w:t>	Estudio fase Ia para determinar efecto inmunitario y seguimiento a largo plazo con MPDL3280A en cáncer renal metastásico.</w:t>
            </w:r>
          </w:p>
          <w:p>
            <w:pPr>
              <w:ind w:left="-284" w:right="-427"/>
              <w:jc w:val="both"/>
              <w:rPr>
                <w:rFonts/>
                <w:color w:val="262626" w:themeColor="text1" w:themeTint="D9"/>
              </w:rPr>
            </w:pPr>
            <w:r>
              <w:t>	#1049O</w:t>
            </w:r>
          </w:p>
          <w:p>
            <w:pPr>
              <w:ind w:left="-284" w:right="-427"/>
              <w:jc w:val="both"/>
              <w:rPr>
                <w:rFonts/>
                <w:color w:val="262626" w:themeColor="text1" w:themeTint="D9"/>
              </w:rPr>
            </w:pPr>
            <w:r>
              <w:t>	Sábado 27 de septiembre, 11:00 h</w:t>
            </w:r>
          </w:p>
          <w:p>
            <w:pPr>
              <w:ind w:left="-284" w:right="-427"/>
              <w:jc w:val="both"/>
              <w:rPr>
                <w:rFonts/>
                <w:color w:val="262626" w:themeColor="text1" w:themeTint="D9"/>
              </w:rPr>
            </w:pPr>
            <w:r>
              <w:t>	   </w:t>
            </w:r>
          </w:p>
          <w:p>
            <w:pPr>
              <w:ind w:left="-284" w:right="-427"/>
              <w:jc w:val="both"/>
              <w:rPr>
                <w:rFonts/>
                <w:color w:val="262626" w:themeColor="text1" w:themeTint="D9"/>
              </w:rPr>
            </w:pPr>
            <w:r>
              <w:t>	#808O</w:t>
            </w:r>
          </w:p>
          <w:p>
            <w:pPr>
              <w:ind w:left="-284" w:right="-427"/>
              <w:jc w:val="both"/>
              <w:rPr>
                <w:rFonts/>
                <w:color w:val="262626" w:themeColor="text1" w:themeTint="D9"/>
              </w:rPr>
            </w:pPr>
            <w:r>
              <w:t>	Lunes 29 de septiembre, 11:00 h</w:t>
            </w:r>
          </w:p>
          <w:p>
            <w:pPr>
              <w:ind w:left="-284" w:right="-427"/>
              <w:jc w:val="both"/>
              <w:rPr>
                <w:rFonts/>
                <w:color w:val="262626" w:themeColor="text1" w:themeTint="D9"/>
              </w:rPr>
            </w:pPr>
            <w:r>
              <w:t>	#809O</w:t>
            </w:r>
          </w:p>
          <w:p>
            <w:pPr>
              <w:ind w:left="-284" w:right="-427"/>
              <w:jc w:val="both"/>
              <w:rPr>
                <w:rFonts/>
                <w:color w:val="262626" w:themeColor="text1" w:themeTint="D9"/>
              </w:rPr>
            </w:pPr>
            <w:r>
              <w:t>	Lunes 29 de septiembre, 11:00</w:t>
            </w:r>
          </w:p>
          <w:p>
            <w:pPr>
              <w:ind w:left="-284" w:right="-427"/>
              <w:jc w:val="both"/>
              <w:rPr>
                <w:rFonts/>
                <w:color w:val="262626" w:themeColor="text1" w:themeTint="D9"/>
              </w:rPr>
            </w:pPr>
            <w:r>
              <w:t>	Roche en oncología </w:t>
            </w:r>
          </w:p>
          <w:p>
            <w:pPr>
              <w:ind w:left="-284" w:right="-427"/>
              <w:jc w:val="both"/>
              <w:rPr>
                <w:rFonts/>
                <w:color w:val="262626" w:themeColor="text1" w:themeTint="D9"/>
              </w:rPr>
            </w:pPr>
            <w:r>
              <w:t>	Roche lleva más de 50 años trabajando para mejorar el tratamiento del cáncer desde que en 1962 presentara la quimioterapia 5-fluorouracilo (5-FU). Desde entonces el compromiso de la compañía se ha traducido en la disponibilidad de tratamientos innovadores y pruebas diagnósticas. El Grupo Roche, que incluye a Genentech en Estados Unidos y Chugai en Japón, lidera a nivel mundial la investigación en oncología con la siguiente cartera de terapias innovadoras: Avastin® (Bevacizumab); Erivedge® (Vismodegib); Gazyva/Gazyvaro® (Obinutuzumab); Herceptin® (Trastuzumab); Kadcyla® (Trastuzumab Emtamsina); MabThera/Rituxan® (Rituximab); Perjeta® (Pertuzumab); Tarceva® (Erlotinib); Xeloda® (Capecitabina); y Zelboraf® (Vemurafenib). Además, Roche cuenta con un amplio programa de terapias experimentales dirigidas a nuevas dianas terapéuticas y el estudio de diferentes estrategias de combinación de fármacos.</w:t>
            </w:r>
          </w:p>
          <w:p>
            <w:pPr>
              <w:ind w:left="-284" w:right="-427"/>
              <w:jc w:val="both"/>
              <w:rPr>
                <w:rFonts/>
                <w:color w:val="262626" w:themeColor="text1" w:themeTint="D9"/>
              </w:rPr>
            </w:pPr>
            <w:r>
              <w:t>	A la investigación de estos tratamientos Roche suma el desarrollo de pruebas diagnósticas que contribuyen a mejorar la situación de los pacientes con cáncer. En este momento cuenta con más de 350 colaboraciones en las áreas de farma y diagnostics, de las cuales más de la mitad corresponden al ámbito de la oncología. Roche lidera una nueva era de innovación en la lucha contra el cáncer gracias a su amplio estudio de marcadores tumorales para los cánceres de próstata, colorrectal, hígado, ovario, mama, estómago, páncreas y pulmón, así como por el desarrollo de diversas pruebas diagnósticas, moleculares y de análisis de tejidos, que permiten hacer realidad el concepto de medicina personalizada aplicado al cáncer.</w:t>
            </w:r>
          </w:p>
          <w:p>
            <w:pPr>
              <w:ind w:left="-284" w:right="-427"/>
              <w:jc w:val="both"/>
              <w:rPr>
                <w:rFonts/>
                <w:color w:val="262626" w:themeColor="text1" w:themeTint="D9"/>
              </w:rPr>
            </w:pPr>
            <w:r>
              <w:t>	Rueda de prensa</w:t>
            </w:r>
          </w:p>
          <w:p>
            <w:pPr>
              <w:ind w:left="-284" w:right="-427"/>
              <w:jc w:val="both"/>
              <w:rPr>
                <w:rFonts/>
                <w:color w:val="262626" w:themeColor="text1" w:themeTint="D9"/>
              </w:rPr>
            </w:pPr>
            <w:r>
              <w:t>	El viernes 26 de septiembre (15.30-17.00 horas) Roche tiene prevista una rueda de prensa en el Hotel Meliá Castilla de Madrid (c/Capitán Haya, 43) para comunicar los estudios más relevantes del Congreso con fármacos de la compañía. Los interesados pueden inscribirse en este enlace: http://roche.cvent.com/MediaBriefing2014.</w:t>
            </w:r>
          </w:p>
          <w:p>
            <w:pPr>
              <w:ind w:left="-284" w:right="-427"/>
              <w:jc w:val="both"/>
              <w:rPr>
                <w:rFonts/>
                <w:color w:val="262626" w:themeColor="text1" w:themeTint="D9"/>
              </w:rPr>
            </w:pPr>
            <w:r>
              <w:t>	Acerca de Roche</w:t>
            </w:r>
          </w:p>
          <w:p>
            <w:pPr>
              <w:ind w:left="-284" w:right="-427"/>
              <w:jc w:val="both"/>
              <w:rPr>
                <w:rFonts/>
                <w:color w:val="262626" w:themeColor="text1" w:themeTint="D9"/>
              </w:rPr>
            </w:pPr>
            <w:r>
              <w:t>	Roche, cuya sede central se halla en Basilea (Suiza), es una compañía líder del sector de la salud, centrada en la investigación y con la potencia combinada de la integración farmacéutica-diagnóstica. Roche es la mayor empresa biotecnológica del mundo y tiene medicamentos auténticamente diferenciados en las áreas de oncología, inmunología, enfermedades infecciosas, oftalmología y neurociencias. El Grupo también es líder mundial en diagnóstico in vitro y diagnóstico histológico del cáncer, y se sitúa a la vanguardia en el control de la diabetes. La estrategia de Roche en medicina personalizada tiene como fin proporcionar medicamentos y pruebas diagnósticas que hagan posible mejoras tangibles de la salud, la calidad de vida y la esperanza de vida de los pacientes. Fundada en 1896, Roche lleva más de un siglo contribuyendo de manera importante a mejorar la salud en todo el mundo. La Lista de Medicamentos Esenciales de la OMS contiene 24 medicamentos desarrollados por Roche, entre ellos antibióticos, antipalúdicos y quimioterápicos que salvan vidas. En el año 2013, el Grupo Roche tenía más de 85.000 empleados, invirtió 8.700 millones de francos suizos en I+D y sus ventas alcanzaron la cifra de 46.800 millones de francos suizos. En Estados Unidos, Genentech es miembro de plena propiedad del Grupo Roche, que es también accionista mayoritario de Chugai Pharmaceutical (Japón). Más información en www.roche.com.</w:t>
            </w:r>
          </w:p>
          <w:p>
            <w:pPr>
              <w:ind w:left="-284" w:right="-427"/>
              <w:jc w:val="both"/>
              <w:rPr>
                <w:rFonts/>
                <w:color w:val="262626" w:themeColor="text1" w:themeTint="D9"/>
              </w:rPr>
            </w:pPr>
            <w:r>
              <w:t>	Todas las marcas comerciales mencionadas en este comunicado de prensa están protegidas por la ley.</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www.roche.es </w:t>
            </w:r>
          </w:p>
          <w:p>
            <w:pPr>
              <w:ind w:left="-284" w:right="-427"/>
              <w:jc w:val="both"/>
              <w:rPr>
                <w:rFonts/>
                <w:color w:val="262626" w:themeColor="text1" w:themeTint="D9"/>
              </w:rPr>
            </w:pPr>
            <w:r>
              <w:t>	Manoli Domínguez                                                                    Luis Pardo</w:t>
            </w:r>
          </w:p>
          <w:p>
            <w:pPr>
              <w:ind w:left="-284" w:right="-427"/>
              <w:jc w:val="both"/>
              <w:rPr>
                <w:rFonts/>
                <w:color w:val="262626" w:themeColor="text1" w:themeTint="D9"/>
              </w:rPr>
            </w:pPr>
            <w:r>
              <w:t>	Departamento Comunicación Roche Farma                          Planner Media</w:t>
            </w:r>
          </w:p>
          <w:p>
            <w:pPr>
              <w:ind w:left="-284" w:right="-427"/>
              <w:jc w:val="both"/>
              <w:rPr>
                <w:rFonts/>
                <w:color w:val="262626" w:themeColor="text1" w:themeTint="D9"/>
              </w:rPr>
            </w:pPr>
            <w:r>
              <w:t>	Tlf. 91 324 81 00                                                                        Tlf. 91 787 03 00 manoli.dominguez@roche.com                                               lpardo@plannermedia.com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https://www.notasdeprensa.es/roche-presentara-en-esmo14-estudios-clave-para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