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26/01/2016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Repsol vende por 136 millones de euros su negocio de gas canalizado en el norte de España y Extremadura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Repsol traspasa activos al Grupo EDP y a Gas Extremadura, con lo que genera una plusvalía de 76 millones de euros | Esta operación se une a la anunciada en septiembre, cuando Repsol vendió activos a Gas Natural Distribución y Redexis por valor de 652 millones de euros | La operación permite avanzar en los objetivos de desinversión establecidos en el Plan Estratégico 2016-2020 de Repsol, a la vez que se genera valor para la compañía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	Repsol ha traspasado su negocio de gas canalizado en el norte de España y Extremadura al Grupo EDP y a Gas Extremadura, respectivamente, por una cantidad total de 136 millones de euros. Las transacciones generarán una plusvalía después de impuestos de 76 millones de euros.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venta se añade a la realizada en septiembre de 2015, cuando Repsol traspasó parte de sus activos de gas canalizado a Gas Natural Distribución y Redexis por 652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Tras estas transacciones, las desinversiones de Repsol en este negocio no estratégico ascienden a un total de 788 millones de euros, con una plusvalía acumulada después de impuestos de 431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Después de estas operaciones, Repsol mantiene una cartera de instalaciones de gas canalizado  con capacidad de suministro para 42.000 clientes,  concentrados  en la Comunidad de Madrid, a los que seguirá prestando su servicio habitual.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acuerdos de venta al Grupo EDP y a Gas Extremadura quedan sujetos a la obtención de las correspondientes autorizaciones administrativas.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venta del negocio de gas canalizado en el norte de España y Extremadura se enmarca en la gestión activa del portafolio, una de las líneas del Plan Estratégico 2016-2020. Repsol definió un cambio de foco hacia la creación de valor tras el crecimiento alcanzado en los últimos años, que culminó con la adquisición de Talisman Energy. La  flexibilidad, fortaleza y adaptabilidad de la cartera de negocios de Repsol permitirá obtener 6.200 millones de euros por desinversiones en activos no estratégicos durante el periodo 2016-2020.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de la desinversión parcial del negocio de gas canalizado anunciada en septiembre, Repsol salió del accionariado de CLH en ese mismo mes, tras la venta del 10% del capital de la compañía logística por 325 millones de euros. La compañía también alcanzó en diciembre un acuerdo para vender un 13% de participación en Eagle Ford  (Estados Unidos) a su socio Statoil. Adicionalmente, Repsol ha desinvertido en dominio minero en Alaska y en 3 bloques exploratorios del offshore canadiense.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documento no constituye una oferta o invitación para adquirir o suscribir acciones, de acuerdo con lo establecido en la Ley 24/1988, de 28 de julio, del Mercado de Valores y en su normativa de desarrollo. Asimismo, este documento no constituye una oferta de compra, de venta o de canje ni una solicitud de una oferta de compra, de venta o de canje de títulos valores en ninguna otra jurisdicción.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documento contiene información y afirmaciones o declaraciones que constituyen estimaciones o proyecciones de futuro sobre Repsol. Dichas estimaciones o proyecciones pueden incluir declaraciones sobre planes, objetivos y expectativas actuales, incluyendo declaraciones en relación con tendencias que afecten a la situación financiera de Repsol, ratios financieros, resultados operativos, negocios, estrategia, concentración geográfica, volúmenes de producción y reservas, gastos de capital, ahorros de costes, inversiones y políticas de dividendos. Dichas estimaciones o proyecciones pueden incluir también asunciones sobre futuras condiciones de tipo económico o de cualquier otro tipo, tales como los futuros precios del crudo u otros precios, márgenes de refino o marketing y tipos de cambio. Las estimaciones o proyecciones de futuro se identifican generalmente por el uso de términos como ?espera?, ?anticipa?, ?pronostica?, ?cree?, ?estima?, ?aprecia? y expresiones similares. Dichas declaraciones no constituyen garantías de un futuro cumplimiento, precios, márgenes, tipos de cambio o de cualquier otro suceso, y se encuentran sujetas a riesgos significativos, incertidumbres, cambios y otros factores que pueden estar fuera del control de Repsol o que pueden ser difíciles de prever. Entre tales riesgos e incertidumbres están aquellos factores y circunstancias identificadas en las comunicaciones y los documentos registrados por Repsol y sus filiales en la Comisión Nacional del Mercado de Valores en España y en el resto de autoridades supervisoras de los mercados en los que se negocian los valores emitidos por Repsol y/o sus filiales.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Salvo en la medida que lo requiera la ley aplicable, Repsol no asume ninguna obligación -aun cuando se publiquen nuevos datos o se produzcan nuevos hechos- de informar públicamente de la actualización o revisión de estas manifestaciones de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información incluida en este documento no ha sido auditada por los auditores externos de Repsol.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https://www.notasdeprensa.es/repsol-vende-por-136-millones-de-euros-su_1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