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obtiene un beneficio neto de 1.054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beneficio neto de Repsol en el primer semestre de 2013 aumentó un 2,6% hasta llegar a los 1.054 millones de euros. Este incremento es especialmente significativo si se tiene en cuenta que se compara con el primer semestre de 2012, que fue el último en el que Repsol consolidó su participación en YPF.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producción neta de hidrocarburos de la compañía creció un 12% en el semestre hasta los 359.700 barriles equivalentes de petróleo al día. Además, en 2013 Repsol ha puesto en producción importantes proyectos de hidrocarburos en Rusia y Brasil.</w:t>
            </w:r>
          </w:p>
          <w:p>
            <w:pPr>
              <w:ind w:left="-284" w:right="-427"/>
              <w:jc w:val="both"/>
              <w:rPr>
                <w:rFonts/>
                <w:color w:val="262626" w:themeColor="text1" w:themeTint="D9"/>
              </w:rPr>
            </w:pPr>
            <w:r>
              <w:t>		En los seis primeros meses del año Repsol  ha realizado nuevos descubrimientos en Alaska, Brasil, Rusia y Argelia, que han permitido alcanzar los objetivos de incorporación de recursos fijados para todo el 2013. Adicionalmente, la compañía mantiene una intensa campaña exploratoria en Brasil, Canadá, Estados Unidos, Libia, Colombia e Indonesia.</w:t>
            </w:r>
          </w:p>
          <w:p>
            <w:pPr>
              <w:ind w:left="-284" w:right="-427"/>
              <w:jc w:val="both"/>
              <w:rPr>
                <w:rFonts/>
                <w:color w:val="262626" w:themeColor="text1" w:themeTint="D9"/>
              </w:rPr>
            </w:pPr>
            <w:r>
              <w:t>		El resultado operativo de Upstream (exploración y producción) alcanzó los 1.161 millones de euros y consolida la buena marcha de trimestres anteriores.</w:t>
            </w:r>
          </w:p>
          <w:p>
            <w:pPr>
              <w:ind w:left="-284" w:right="-427"/>
              <w:jc w:val="both"/>
              <w:rPr>
                <w:rFonts/>
                <w:color w:val="262626" w:themeColor="text1" w:themeTint="D9"/>
              </w:rPr>
            </w:pPr>
            <w:r>
              <w:t>		El área de Downstream (refino, marketing, trading, química y GLP) obtuvo un resultado operativo, descontado el efecto de la valoración de los inventarios, de 311 millones de euros, un 9,9% superior al registrado el mismo periodo del año anterior.</w:t>
            </w:r>
          </w:p>
          <w:p>
            <w:pPr>
              <w:ind w:left="-284" w:right="-427"/>
              <w:jc w:val="both"/>
              <w:rPr>
                <w:rFonts/>
                <w:color w:val="262626" w:themeColor="text1" w:themeTint="D9"/>
              </w:rPr>
            </w:pPr>
            <w:r>
              <w:t>		El descenso del volumen de ventas y de los márgenes en las estaciones de servicio ha sido compensado por la mayor actividad de destilación y eficiencia de las refinerías.</w:t>
            </w:r>
          </w:p>
          <w:p>
            <w:pPr>
              <w:ind w:left="-284" w:right="-427"/>
              <w:jc w:val="both"/>
              <w:rPr>
                <w:rFonts/>
                <w:color w:val="262626" w:themeColor="text1" w:themeTint="D9"/>
              </w:rPr>
            </w:pPr>
            <w:r>
              <w:t>		La disciplina financiera ha permitido a Repsol (ex Gas Natural Fenosa) cerrar el período con un elevado nivel de liquidez. La deuda se situaba en 6.320 millones de euros, lo que representa un descenso de 1.112 millones de euros respecto al cierre de 2012.</w:t>
            </w:r>
          </w:p>
          <w:p>
            <w:pPr>
              <w:ind w:left="-284" w:right="-427"/>
              <w:jc w:val="both"/>
              <w:rPr>
                <w:rFonts/>
                <w:color w:val="262626" w:themeColor="text1" w:themeTint="D9"/>
              </w:rPr>
            </w:pPr>
            <w:r>
              <w:t>		En el ejercicio, Repsol mantuvo la retribución a los accionistas bajo la fórmula Repsol Dividendo Flexible, con gran aceptación entre los titulares de acciones. También materializó la oferta de recompra de las acciones preferentes que tuvo una aceptación superior al 97%.</w:t>
            </w:r>
          </w:p>
          <w:p>
            <w:pPr>
              <w:ind w:left="-284" w:right="-427"/>
              <w:jc w:val="both"/>
              <w:rPr>
                <w:rFonts/>
                <w:color w:val="262626" w:themeColor="text1" w:themeTint="D9"/>
              </w:rPr>
            </w:pPr>
            <w:r>
              <w:t>		Durante el primer semestre del año, Repsol alcanzó un acuerdo para la venta de activos de GNL a Shell y vendió autocartera a la sociedad de inversión de Singapur, Temasek.</w:t>
            </w:r>
          </w:p>
          <w:p>
            <w:pPr>
              <w:ind w:left="-284" w:right="-427"/>
              <w:jc w:val="both"/>
              <w:rPr>
                <w:rFonts/>
                <w:color w:val="262626" w:themeColor="text1" w:themeTint="D9"/>
              </w:rPr>
            </w:pPr>
            <w:r>
              <w:t>	Repsol alcanzó en el primer semestre de 2013 un beneficio neto de 1.054 millones de euros, un 2,6% superior al mismo periodo del ejercicio 2012, calculado en base a la valoración de los inventarios a coste de reposición (CCS). El resultado siguiendo criterios contables de valoración de inventarios a coste medio (MIFO) ascendió a 901 millones de euros. Estos datos son especialmente significativos si se tiene en cuenta que se comparan con el primer semestre de 2012, que fue el último en el que Repsol consolidó su participación en YPF.</w:t>
            </w:r>
          </w:p>
          <w:p>
            <w:pPr>
              <w:ind w:left="-284" w:right="-427"/>
              <w:jc w:val="both"/>
              <w:rPr>
                <w:rFonts/>
                <w:color w:val="262626" w:themeColor="text1" w:themeTint="D9"/>
              </w:rPr>
            </w:pPr>
            <w:r>
              <w:t>	El crecimiento de los resultados se apoyó en la fortaleza de todos los negocios de la compañía. El resultado neto de las operaciones continuadas ascendió a 945 millones de euros, un 4,7% superior al registrado en el mismo periodo del ejercicio anterior.</w:t>
            </w:r>
          </w:p>
          <w:p>
            <w:pPr>
              <w:ind w:left="-284" w:right="-427"/>
              <w:jc w:val="both"/>
              <w:rPr>
                <w:rFonts/>
                <w:color w:val="262626" w:themeColor="text1" w:themeTint="D9"/>
              </w:rPr>
            </w:pPr>
            <w:r>
              <w:t>	El negocio de Upstream (Exploración y Producción) mantuvo su senda de crecimiento y, a pesar del débil entorno económico mundial, mejoró su resultado operativo  en un 1,5% gracias a la entrada en producción de nuevos campos, fruto de la exitosa campaña exploratoria de los últimos años. </w:t>
            </w:r>
          </w:p>
          <w:p>
            <w:pPr>
              <w:ind w:left="-284" w:right="-427"/>
              <w:jc w:val="both"/>
              <w:rPr>
                <w:rFonts/>
                <w:color w:val="262626" w:themeColor="text1" w:themeTint="D9"/>
              </w:rPr>
            </w:pPr>
            <w:r>
              <w:t>	Durante la primera mitad del año la compañía puso en marcha importantes proyectos de producción de hidrocarburos en Rusia y Brasil, cumpliendo en tiempo y coste con lo establecido en el Plan Estratégico 2012-2016. </w:t>
            </w:r>
          </w:p>
          <w:p>
            <w:pPr>
              <w:ind w:left="-284" w:right="-427"/>
              <w:jc w:val="both"/>
              <w:rPr>
                <w:rFonts/>
                <w:color w:val="262626" w:themeColor="text1" w:themeTint="D9"/>
              </w:rPr>
            </w:pPr>
            <w:r>
              <w:t>	Además, en los seis primeros meses del año, Repsol realizó descubrimientos relevantes en Alaska, Argelia, Rusia y Brasil, que permitieron alcanzar los objetivos de incorporación de recursos fijados para todo el 2013.</w:t>
            </w:r>
          </w:p>
          <w:p>
            <w:pPr>
              <w:ind w:left="-284" w:right="-427"/>
              <w:jc w:val="both"/>
              <w:rPr>
                <w:rFonts/>
                <w:color w:val="262626" w:themeColor="text1" w:themeTint="D9"/>
              </w:rPr>
            </w:pPr>
            <w:r>
              <w:t>	En el área de Downstream (refino, marketing, trading, química y GLP), la compañía continuó acusando la debilidad del mercado local español que provocó descensos del volumen de ventas y márgenes en Estaciones de Servicio, compensados por la mayor actividad de destilación de las refinerías.</w:t>
            </w:r>
          </w:p>
          <w:p>
            <w:pPr>
              <w:ind w:left="-284" w:right="-427"/>
              <w:jc w:val="both"/>
              <w:rPr>
                <w:rFonts/>
                <w:color w:val="262626" w:themeColor="text1" w:themeTint="D9"/>
              </w:rPr>
            </w:pPr>
            <w:r>
              <w:t>	Durante los seis primeros meses del año, Repsol reforzó su fortaleza financiera con la emisión de un bono de 1.200 millones de euros al tipo de interés más reducido, hasta ese momento, en España, desde la entrada del euro.</w:t>
            </w:r>
          </w:p>
          <w:p>
            <w:pPr>
              <w:ind w:left="-284" w:right="-427"/>
              <w:jc w:val="both"/>
              <w:rPr>
                <w:rFonts/>
                <w:color w:val="262626" w:themeColor="text1" w:themeTint="D9"/>
              </w:rPr>
            </w:pPr>
            <w:r>
              <w:t>	Además, la venta de activos de GNL (Gas Natural Licuado) acordada a finales de febrero, por un valor de 6.653 millones de dólares, permitirá alcanzar el objetivo de desinversiones contemplado en el Plan Estratégico para todo el período 2012-2016. La transacción se completará previsiblemente en el cuarto trimestre de este año.</w:t>
            </w:r>
          </w:p>
          <w:p>
            <w:pPr>
              <w:ind w:left="-284" w:right="-427"/>
              <w:jc w:val="both"/>
              <w:rPr>
                <w:rFonts/>
                <w:color w:val="262626" w:themeColor="text1" w:themeTint="D9"/>
              </w:rPr>
            </w:pPr>
            <w:r>
              <w:t>	Por otro lado, en el mes de marzo Repsol vendió acciones en autocartera, un 5% por ciento de su capital social, a la Sociedad de Inversión de Singapur Temasek, por un total de 1.036 millones de euros. En la Junta General de Accionistas celebrada el pasado 31 de mayo se nombró consejero de la compañía a Rene Dahan, a propuesta de Temasek, que posee un 6,4% del capital de Repsol.</w:t>
            </w:r>
          </w:p>
          <w:p>
            <w:pPr>
              <w:ind w:left="-284" w:right="-427"/>
              <w:jc w:val="both"/>
              <w:rPr>
                <w:rFonts/>
                <w:color w:val="262626" w:themeColor="text1" w:themeTint="D9"/>
              </w:rPr>
            </w:pPr>
            <w:r>
              <w:t>	Al cierre del semestre, el Grupo Repsol (ex Gas Natural Fenosa) mostraba un elevado nivel de liquidez. La deuda financiera neta se redujo en 1.112 millones de euros con respecto al cierre del pasado ejercicio hasta los 6.320 millones de euros. </w:t>
            </w:r>
          </w:p>
          <w:p>
            <w:pPr>
              <w:ind w:left="-284" w:right="-427"/>
              <w:jc w:val="both"/>
              <w:rPr>
                <w:rFonts/>
                <w:color w:val="262626" w:themeColor="text1" w:themeTint="D9"/>
              </w:rPr>
            </w:pPr>
            <w:r>
              <w:t>	El pasado 31 de mayo, la Junta General de Accionistas de Repsol aprobó continuar con la fórmula de retribución al accionista ?Repsol Dividendo Flexible?. A través de este sistema de retribución, los accionistas pueden elegir entre recibir acciones liberadas de la compañía de nueva emisión o el cobro en efectivo, mediante la transmisión a la Sociedad de los derechos de asignación gratuita a un precio garantizado. En la ampliación de capital realizada en sustitución del tradicional dividendo complementario cerca del 60% de los accionistas optó por cobrar su retribución en acciones.</w:t>
            </w:r>
          </w:p>
          <w:p>
            <w:pPr>
              <w:ind w:left="-284" w:right="-427"/>
              <w:jc w:val="both"/>
              <w:rPr>
                <w:rFonts/>
                <w:color w:val="262626" w:themeColor="text1" w:themeTint="D9"/>
              </w:rPr>
            </w:pPr>
            <w:r>
              <w:t>	En el primer semestre se realizó una oferta de recompra de las participaciones preferentes al 97,5% de su valor nominal, en unas condiciones más ventajosas que las que ofrecía el mercado. La oferta tuvo una aceptación de más del 97%.</w:t>
            </w:r>
          </w:p>
          	Upstream: Nuevos proyectos, más producción y recursos
          <w:p>
            <w:pPr>
              <w:ind w:left="-284" w:right="-427"/>
              <w:jc w:val="both"/>
              <w:rPr>
                <w:rFonts/>
                <w:color w:val="262626" w:themeColor="text1" w:themeTint="D9"/>
              </w:rPr>
            </w:pPr>
            <w:r>
              <w:t>	El resultado operativo del área de Upstream (exploración y producción) al final del primer semestre de 2013 ascendió a 1.161 millones de euros, un 1,5% más que en el mismo semestre del ejercicio anterior.</w:t>
            </w:r>
          </w:p>
          <w:p>
            <w:pPr>
              <w:ind w:left="-284" w:right="-427"/>
              <w:jc w:val="both"/>
              <w:rPr>
                <w:rFonts/>
                <w:color w:val="262626" w:themeColor="text1" w:themeTint="D9"/>
              </w:rPr>
            </w:pPr>
            <w:r>
              <w:t>	El éxito de la actividad exploratoria de Repsol en los últimos años permitió que la producción neta de hidrocarburos de la compañía creciera un 12% hasta los 359.700 barriles equivalentes de petróleo al día. Este incremento se debe a la aportación de cinco de los proyectos clave del Plan Estratégico 2012-2016, que ya han comenzado la producción: Lubina y Montanazo (España), Sapinhoá (Brasil), Mid-Continent (Estados Unidos), AROG (Rusia) y Margarita (Bolivia).</w:t>
            </w:r>
          </w:p>
          <w:p>
            <w:pPr>
              <w:ind w:left="-284" w:right="-427"/>
              <w:jc w:val="both"/>
              <w:rPr>
                <w:rFonts/>
                <w:color w:val="262626" w:themeColor="text1" w:themeTint="D9"/>
              </w:rPr>
            </w:pPr>
            <w:r>
              <w:t>	A comienzos de 2013, Repsol puso en producción el megacampo Sapinhoá en Brasil, que en una primera fase alcanzará 120.000 barriles equivalentes de petróleo al día. Este proyecto contribuirá decisivamente a los planes de crecimiento de Repsol en los próximos años.</w:t>
            </w:r>
          </w:p>
          <w:p>
            <w:pPr>
              <w:ind w:left="-284" w:right="-427"/>
              <w:jc w:val="both"/>
              <w:rPr>
                <w:rFonts/>
                <w:color w:val="262626" w:themeColor="text1" w:themeTint="D9"/>
              </w:rPr>
            </w:pPr>
            <w:r>
              <w:t>	También destaca el comienzo de la producción comercial de gas en el campo Syskonsyninskoye (SK), en Rusia, del que se obtendrá en 2014 una cantidad de gas equivalente al tres por ciento del consumo anual de España.</w:t>
            </w:r>
          </w:p>
          <w:p>
            <w:pPr>
              <w:ind w:left="-284" w:right="-427"/>
              <w:jc w:val="both"/>
              <w:rPr>
                <w:rFonts/>
                <w:color w:val="262626" w:themeColor="text1" w:themeTint="D9"/>
              </w:rPr>
            </w:pPr>
            <w:r>
              <w:t>	Durante el primer semestre de 2013 Repsol anunció nuevos e importantes hallazgos, como los tres pozos de hidrocarburos de buena calidad en el área de North Slope (Alaska) o el segundo descubrimiento de gas en la cuenca de Illizi, en Argelia. Estos descubrimientos, junto con los pozos positivos en Rusia y Brasil, han permitido superar el objetivo de incorporar 300 millones de barriles equivalentes de petróleo establecido para todo el ejercicio. Además, Repsol está realizando actualmente actividades exploratorias en Brasil, Libia, Indonesia, Canadá, EEUU y Colombia. La compañía también adquirió nuevos derechos sobre dominio minero en Noruega, Guyana e Indonesia.</w:t>
            </w:r>
          </w:p>
          <w:p>
            <w:pPr>
              <w:ind w:left="-284" w:right="-427"/>
              <w:jc w:val="both"/>
              <w:rPr>
                <w:rFonts/>
                <w:color w:val="262626" w:themeColor="text1" w:themeTint="D9"/>
              </w:rPr>
            </w:pPr>
            <w:r>
              <w:t>	El precio de realización de crudo de la cesta de Repsol tuvo un mejor comportamiento que el Brent gracias al nuevo mix de producción, con mayor peso de Brasil y Estados Unidos. El precio de realización de gas se vio penalizado por el mix de ventas.</w:t>
            </w:r>
          </w:p>
          <w:p>
            <w:pPr>
              <w:ind w:left="-284" w:right="-427"/>
              <w:jc w:val="both"/>
              <w:rPr>
                <w:rFonts/>
                <w:color w:val="262626" w:themeColor="text1" w:themeTint="D9"/>
              </w:rPr>
            </w:pPr>
            <w:r>
              <w:t>	Las inversiones de explotación en el área de Upstream ascendieron a 1.151 millones de euros, lo que supone un 4% más que las del mismo período de 2012. La inversión en desarrollo representó el 72% del total y se realizaron principalmente en EEUU (36%), Brasil (18%), Venezuela (13%) y Trinidad y Tobago (12%). Las inversiones en exploración representaron un 20% de la inversión total y han sido realizadas fundamentalmente en EE.UU (42%), Brasil (15%), Noruega (9%) y Rusia (6%).</w:t>
            </w:r>
          </w:p>
          <w:p>
            <w:pPr>
              <w:ind w:left="-284" w:right="-427"/>
              <w:jc w:val="both"/>
              <w:rPr>
                <w:rFonts/>
                <w:color w:val="262626" w:themeColor="text1" w:themeTint="D9"/>
              </w:rPr>
            </w:pPr>
            <w:r>
              <w:t>	En cuanto al GNL (Gas Natural Licuado), su resultado operativo ascendió a 481 millones de euros en el primer semestre de 2013, un 103% más que en el mismo periodo de 2012.</w:t>
            </w:r>
          </w:p>
          	Downstream: Eficiencia en un entorno de márgenes a la baja
          <w:p>
            <w:pPr>
              <w:ind w:left="-284" w:right="-427"/>
              <w:jc w:val="both"/>
              <w:rPr>
                <w:rFonts/>
                <w:color w:val="262626" w:themeColor="text1" w:themeTint="D9"/>
              </w:rPr>
            </w:pPr>
            <w:r>
              <w:t>	El resultado operativo de Downstream (refino, marketing, trading, química y GLP) a CCS en el primer semestre de 2013 ascendió a 311 millones de euros, lo que supone un 9,9% más respecto al primer semestre de 2012.</w:t>
            </w:r>
          </w:p>
          <w:p>
            <w:pPr>
              <w:ind w:left="-284" w:right="-427"/>
              <w:jc w:val="both"/>
              <w:rPr>
                <w:rFonts/>
                <w:color w:val="262626" w:themeColor="text1" w:themeTint="D9"/>
              </w:rPr>
            </w:pPr>
            <w:r>
              <w:t>	Teniendo en cuenta el efecto de la valoración de los inventarios, que generó un efecto negativo de 232 millones de euros en el semestre, el resultado operativo a MIFO (valoración de los inventarios a coste medio) del área se redujo 71,5% hasta alcanzar los 79 millones de euros.</w:t>
            </w:r>
          </w:p>
          <w:p>
            <w:pPr>
              <w:ind w:left="-284" w:right="-427"/>
              <w:jc w:val="both"/>
              <w:rPr>
                <w:rFonts/>
                <w:color w:val="262626" w:themeColor="text1" w:themeTint="D9"/>
              </w:rPr>
            </w:pPr>
            <w:r>
              <w:t>	Los márgenes de refino internacionales se redujeron significativamente en el segundo trimestre del año hasta situar la media para el semestre en 3,2 dólares por barril, un 17,9% inferiores al mismo periodo de 2012.</w:t>
            </w:r>
          </w:p>
          <w:p>
            <w:pPr>
              <w:ind w:left="-284" w:right="-427"/>
              <w:jc w:val="both"/>
              <w:rPr>
                <w:rFonts/>
                <w:color w:val="262626" w:themeColor="text1" w:themeTint="D9"/>
              </w:rPr>
            </w:pPr>
            <w:r>
              <w:t>	A pesar del entorno desfavorable, y una vez finalizadas las inversiones en las refinerías del Grupo en España, las unidades aumentaron su grado de utilización hasta un 80% comparado con 67% en el año precedente. La utilización de la capacidad de conversión (la capacidad de producir combustibles de alto valor añadido) también aumentó hasta el 100%, comparado con 83% de 2012.</w:t>
            </w:r>
          </w:p>
          <w:p>
            <w:pPr>
              <w:ind w:left="-284" w:right="-427"/>
              <w:jc w:val="both"/>
              <w:rPr>
                <w:rFonts/>
                <w:color w:val="262626" w:themeColor="text1" w:themeTint="D9"/>
              </w:rPr>
            </w:pPr>
            <w:r>
              <w:t>	En el primer semestre de 2013 aumentó el volumen de crudo procesado en un 15,5%, hasta los 19,3Mtep (millones de toneladas equivalentes de petróleo). Las ventas en estaciones de servicio en España sufrieron una nueva caída del 9%, además de una reducción en los márgenes.</w:t>
            </w:r>
          </w:p>
          <w:p>
            <w:pPr>
              <w:ind w:left="-284" w:right="-427"/>
              <w:jc w:val="both"/>
              <w:rPr>
                <w:rFonts/>
                <w:color w:val="262626" w:themeColor="text1" w:themeTint="D9"/>
              </w:rPr>
            </w:pPr>
            <w:r>
              <w:t>	Las inversiones de explotación en el área de Downstream en el primer semestre de 2013 fueron de 220 millones de euros.</w:t>
            </w:r>
          </w:p>
          	Gas Natural Fenosa
          <w:p>
            <w:pPr>
              <w:ind w:left="-284" w:right="-427"/>
              <w:jc w:val="both"/>
              <w:rPr>
                <w:rFonts/>
                <w:color w:val="262626" w:themeColor="text1" w:themeTint="D9"/>
              </w:rPr>
            </w:pPr>
            <w:r>
              <w:t>	El resultado de explotación de Gas Natural Fenosa en el primer semestre de 2013 fue de 464 millones de euros, con un descenso del 2,3% debido fundamentalmente a que los mayores márgenes de comercialización mayorista de gas no han podido compensar del todo la menor aportación de Unión Fenosa Gas, además de por menor resultado del negocio eléctrico en España, afectado por la nueva fiscalidad.</w:t>
            </w:r>
          </w:p>
          <w:p>
            <w:pPr>
              <w:ind w:left="-284" w:right="-427"/>
              <w:jc w:val="both"/>
              <w:rPr>
                <w:rFonts/>
                <w:color w:val="262626" w:themeColor="text1" w:themeTint="D9"/>
              </w:rPr>
            </w:pPr>
            <w:r>
              <w:t>	Las inversiones de explotación de Gas Natural Fenosa durante el primer semestre de 2013 han alcanzado los 178 millones de euros. La inversión material se ha destinado fundamentalmente a las actividades de Distribución de Gas y Electricidad, tanto en España como en Latinoamérica.</w:t>
            </w:r>
          </w:p>
          <w:p>
            <w:pPr>
              <w:ind w:left="-284" w:right="-427"/>
              <w:jc w:val="both"/>
              <w:rPr>
                <w:rFonts/>
                <w:color w:val="262626" w:themeColor="text1" w:themeTint="D9"/>
              </w:rPr>
            </w:pPr>
            <w:r>
              <w:t>	Tablas de resultados. PDF (48KB).</w:t>
            </w:r>
          </w:p>
          <w:p>
            <w:pPr>
              <w:ind w:left="-284" w:right="-427"/>
              <w:jc w:val="both"/>
              <w:rPr>
                <w:rFonts/>
                <w:color w:val="262626" w:themeColor="text1" w:themeTint="D9"/>
              </w:rPr>
            </w:pPr>
            <w:r>
              <w:t>					Este documento no constituye una oferta o invitación para adquirir o suscribir acciones de Repsol, de acuerdo con lo establecido en la Ley 24/1988, de 28 de julio, del Mercado de Valores y en su normativa de desarrollo. Asimismo, este documento no constituye una oferta de compra, de venta o de canje ni una solicitud de una oferta de compra, de venta o de canje de títulos valores en ninguna otra jurisdicción.</w:t>
            </w:r>
          </w:p>
          <w:p>
            <w:pPr>
              <w:ind w:left="-284" w:right="-427"/>
              <w:jc w:val="both"/>
              <w:rPr>
                <w:rFonts/>
                <w:color w:val="262626" w:themeColor="text1" w:themeTint="D9"/>
              </w:rPr>
            </w:pPr>
            <w:r>
              <w:t>					Este documento contiene información y afirmaciones o declaraciones que constituyen estimaciones o proyecciones de futuro sobre Repsol. Dichas estimaciones o proyecciones pueden incluir declaraciones sobre planes, objetivos y expectativas actuales, incluyendo declaraciones en relación con tendencias que afecten a la situación financiera de Repsol, ratios financieros, resultados operativos, negocios, estrategia, concentración geográfica, volúmenes de producción y reservas, gastos de capital, ahorros de costes, inversiones y políticas de dividendos. Dichas estimaciones o proyecciones pueden incluir también asunciones sobre futuras condiciones de tipo económico o de cualquier otro tipo, tales como los futuros precios del crudo u otros precios, márgenes de refino o marketing y tipos de cambio. Las estimaciones o proyecciones de futuro se identifican generalmente por el uso de términos como ?espera?, ?anticipa?, ?pronostica?, ?cree?, ?estima?, ?aprecia? y expresiones similares. Dichas declaraciones no constituyen garantías de un futuro cumplimiento, precios, márgenes, tipos de cambio o de cualquier otro suceso, y se encuentran sujetas a riesgos significativos, incertidumbres, cambios y otros factores que pueden estar fuera del control de Repsol o que pueden ser difíciles de prever. Entre tales riesgos e incertidumbres están aquellos factores y circunstancias identificadas en las comunicaciones y los documentos registrados por Repsol y sus filiales en la Comisión Nacional del Mercado de Valores en España, en la Comisión Nacional de Valores en Argentina, en la Securities and Exchange Commission de los Estados Unidos de América y en el resto de autoridades supervisoras de los mercados en los que se negocian los valores emitidos por Repsol y/o sus filiales.</w:t>
            </w:r>
          </w:p>
          <w:p>
            <w:pPr>
              <w:ind w:left="-284" w:right="-427"/>
              <w:jc w:val="both"/>
              <w:rPr>
                <w:rFonts/>
                <w:color w:val="262626" w:themeColor="text1" w:themeTint="D9"/>
              </w:rPr>
            </w:pPr>
            <w:r>
              <w:t>					Salvo en la medida que lo requiera la ley aplicable, Repsol no asume ninguna obligación -aun cuando se publiquen nuevos datos o se produzcan nuevos hechos- de informar públicamente de la actualización o revisión de estas manifestaciones de futuro.</w:t>
            </w:r>
          </w:p>
          <w:p>
            <w:pPr>
              <w:ind w:left="-284" w:right="-427"/>
              <w:jc w:val="both"/>
              <w:rPr>
                <w:rFonts/>
                <w:color w:val="262626" w:themeColor="text1" w:themeTint="D9"/>
              </w:rPr>
            </w:pPr>
            <w:r>
              <w:t>					La información incluida en este documento no ha sido verificada ni revisada por los auditores externos de Repsol.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https://www.notasdeprensa.es/repsol-obtiene-un-beneficio-neto-de-1-054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