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España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consigue en Santander (Cantabria), cancelar 148.899 €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representa a más de 9.000 personas en los juzgados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nº10 de Santander (Cantabria) ha exonerado de una deuda que ascendía a 148.899 euros de deuda con 11 Bancos, más 100 euros al Ayuntamiento de León, a un matrimonio que cuenta con dos hijos a su cargo.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https://www.notasdeprensa.es/repara-tu-deuda-consigue-en-santander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