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(La Rioja)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79.787€ con deuda pública en Logroño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tramitado en toda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MD, divorciada, a quien el Juzgado de Primera Instancia nº6 de Logroño (La Rioja) ha concedido Beneficio de Exoneración del Pasivo Insatisfecho (BEPI), liberando a la concursada de una deuda que ascendía a 79.787 euros con 22 bancos y entidades financieras. VER SENTENCIA</w:t>
            </w:r>
          </w:p>
          <w:p>
            <w:pPr>
              <w:ind w:left="-284" w:right="-427"/>
              <w:jc w:val="both"/>
              <w:rPr>
                <w:rFonts/>
                <w:color w:val="262626" w:themeColor="text1" w:themeTint="D9"/>
              </w:rPr>
            </w:pPr>
            <w:r>
              <w:t>Los abogados de Repara tu Deuda nos explican su historia: “quiso montar por su cuenta una tienda de ropa. Pidió crédito para la inversión. Lo resultados no fueron los que esperaba. Por eso, decidió cambiar de marca para poder empezar a tener más ventas, pero la situación tampoco mejoró. La exonerada asegura que el material no era de la calidad que ella quería, por lo que acabo cerrando. Se quedó con deuda de los créditos y también con el Ayuntamiento por una venta por debajo del precio de una vivienda que le urgía vender”.</w:t>
            </w:r>
          </w:p>
          <w:p>
            <w:pPr>
              <w:ind w:left="-284" w:right="-427"/>
              <w:jc w:val="both"/>
              <w:rPr>
                <w:rFonts/>
                <w:color w:val="262626" w:themeColor="text1" w:themeTint="D9"/>
              </w:rPr>
            </w:pPr>
            <w:r>
              <w:t>MD tenía, por tanto, deuda pública. En su caso, de la cantidad total cancelada, 1152 euros correspondían a deuda pública. Además, se ha conseguido la aprobación de un plan de pagos a un año para la liquidación de la deuda pública no exonerada. La Ley de la Segunda Oportunidad entró en vigor en España en 2015 pero no contemplaba la cancelación de la deuda pública, solamente la privada. Los responsables de Repara tu Deuda Abogados explican que con esta sentencia se avanza para que la deuda con administraciones públicas también sea objeto de cancelación.</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45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los últimos meses,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https://www.notasdeprensa.es/repara-tu-deuda-cancela-79-787-con-deuda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