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(Castilla y León) el 15/05/2021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38.606 € con deuda pública en Palencia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tramita la mayoría de los casos en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SG, vecina de Palencia (Castilla y León), divorciada y con dos hijos, a quien el Juzgado de Primera Instancia e Instrucción nº1 de Palencia, ha concedido Beneficio de Exoneración del Pasivo Insatisfecho (BEPI), liberando a la concursada de una deuda que ascendía a 38.606 euros con 14 bancos y entidades financieras.</w:t>
            </w:r>
          </w:p>
          <w:p>
            <w:pPr>
              <w:ind w:left="-284" w:right="-427"/>
              <w:jc w:val="both"/>
              <w:rPr>
                <w:rFonts/>
                <w:color w:val="262626" w:themeColor="text1" w:themeTint="D9"/>
              </w:rPr>
            </w:pPr>
            <w:r>
              <w:t>Los abogados de Repara tu Deuda nos explican la historia: “con apenas ingresos para su propio sustento, contrató varios préstamos menores que intentó reagrupar -sin mucho éxito- para poder hacer frente a los distintos pagos. Sin embargo, se le fue acumulando la cantidad que debía, teniendo incluso que solicitar el ingreso mínimo vital y no logró acceder a un nuevo empleo que mejorase su economía. Su camino no ha sido sencillo pero en la actualidad ya puede vivir libre de deudas”.</w:t>
            </w:r>
          </w:p>
          <w:p>
            <w:pPr>
              <w:ind w:left="-284" w:right="-427"/>
              <w:jc w:val="both"/>
              <w:rPr>
                <w:rFonts/>
                <w:color w:val="262626" w:themeColor="text1" w:themeTint="D9"/>
              </w:rPr>
            </w:pPr>
            <w:r>
              <w:t>SG tenía también deuda pública con la Agencia Tributaria, Seguridad Social y con el Ayuntamiento de Palencia. La Ley de Segunda Oportunidad entró en vigor en España en 2015 pero hasta ahora no contemplaba la cancelación de la deuda pública, solamente la privada.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los últimos meses,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https://www.notasdeprensa.es/repara-tu-deuda-cancela-38-606-con-deuda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