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(Castilla y León)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22.700€ en Valladolid (Castilla y León)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Valladolid ha dictado Beneficio de Exoneración del Pasivo Insatisfecho (BEPI) en el caso de JAA, quedando exonerado de una deuda de 22.700 euros. El caso lo ha tramitado Repara tu Deuda Abogados, despacho de abogados líder en España en la Ley de Segunda Oportunidad.</w:t>
            </w:r>
          </w:p>
          <w:p>
            <w:pPr>
              <w:ind w:left="-284" w:right="-427"/>
              <w:jc w:val="both"/>
              <w:rPr>
                <w:rFonts/>
                <w:color w:val="262626" w:themeColor="text1" w:themeTint="D9"/>
              </w:rPr>
            </w:pPr>
            <w:r>
              <w:t>“JAA -explican los abogados de Repara tu Deuda- pidió préstamos para ayudar a su anterior pareja. Ella tenía un negocio pero no le daban un crédito. El negocio no fue como esperaban, se separaron y él se quedó con la deuda íntegra. Se informó acerca de Ley de Segunda Oportunidad y acudió a Repara tu Deuda abogados en busca de una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https://www.notasdeprensa.es/repara-tu-deuda-cancela-22-700-en-valladolid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