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Boi, Barcelona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176.856 € a un matrimonio de Barcelona gracias a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100% online tiene oficinas en toda España para agilizar los trámites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nº5 de Sant Boi de Llobregat (Barcelona) ha exonerado de una deuda que ascendía a 176.856 euros con dos bancos a un matrimonio con dos hijos a su cargo.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Los concursados, MM y MA, habían ido acumulando deuda hasta alcanzar una situación de sobre endeudamiento a la que ya no podían hacer frente. El matrimonio cuenta con unos ingresos mensuales de 1.500 euros y unos gastos en necesidades básicas de 1.450 euros al mes.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Los abogados de Repara tu Deuda gestionan más del 89% de todos los casos a nivel nacional. 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Hernandez, de Sálvame; Javier Cárdenas; Albert Lesan o Carlota Corredera y, en la actualidad, Bertín Osborne. Es muy poco usual que personajes famosos, presentadores de televisión, futbolistas, cocineros de prestigio, etc. representen a un despacho de abogados.</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https://www.notasdeprensa.es/repara-tu-deuda-cancela-176-856-a-un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