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Avilés, España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146.594 € con 37 bancos en Avilés, (Asturias)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representa a más de 9.000 personas en los juzgados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nº3 de Avilés (Asturias) ha exonerado de una deuda que ascendía a 146.594 euros con 37 Bancos a JC, vecino de la ciudad, soltero y sin personas a su cargo. El caso lo ha tramitado Repara tu Deuda, despacho de abogados líder en España en la aplicación de esta legislación, que entró en vigor en España en 2015.</w:t>
            </w:r>
          </w:p>
          <w:p>
            <w:pPr>
              <w:ind w:left="-284" w:right="-427"/>
              <w:jc w:val="both"/>
              <w:rPr>
                <w:rFonts/>
                <w:color w:val="262626" w:themeColor="text1" w:themeTint="D9"/>
              </w:rPr>
            </w:pPr>
            <w:r>
              <w:t>“La situación de JC -explican los abogados de Repara tu Deuda- era crítica cuando acudió a nosotros en busca de ayuda. Había acumulado deuda con 37 entidades; cuando un deudor tiene problemas con un banco, es peligroso firmar nuevos créditos, pues resuelven el problema a corto plazo, pero lo agravan a la larga”. JC había llegado a un punto que, con una nómina de 1.016 euros, no podía responder a todas las deudas acumuladas. Ahora, mediante la Ley de Segunda Oportunidad y gracias a Repara tu Deuda abogados, puede empezar de nuevo libre de deudas.</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https://www.notasdeprensa.es/repara-tu-deuda-cancela-146-594-con-37-bancos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