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110.753€ en Salamanca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JT, soltero, vecino de Salamanca, a quien el Juzgado de Primera Instancia nº4 de Salamanca ha concedido Beneficio de Exoneración del Pasivo Insatisfecho (BEPI), liberando al concursado de una deuda que ascendía a 110.753 euros. VER SENTENCIA</w:t>
            </w:r>
          </w:p>
          <w:p>
            <w:pPr>
              <w:ind w:left="-284" w:right="-427"/>
              <w:jc w:val="both"/>
              <w:rPr>
                <w:rFonts/>
                <w:color w:val="262626" w:themeColor="text1" w:themeTint="D9"/>
              </w:rPr>
            </w:pPr>
            <w:r>
              <w:t>Los abogados de Repara tu Deuda explican la historia: “montó un primer negocio que no fue como esperaba y quiso probar de nuevo suerte con un segundo negocio. En ambos casos no salió como quería y por ello acumuló deuda de los préstamos que solicitó. La vivienda también la perdió por ser aval de la deuda y se arruinó completamente”.</w:t>
            </w:r>
          </w:p>
          <w:p>
            <w:pPr>
              <w:ind w:left="-284" w:right="-427"/>
              <w:jc w:val="both"/>
              <w:rPr>
                <w:rFonts/>
                <w:color w:val="262626" w:themeColor="text1" w:themeTint="D9"/>
              </w:rPr>
            </w:pPr>
            <w:r>
              <w:t>JT tenía también deuda pública con Hacienda. La Ley de la Segunda Oportunidad entró en vigor en España en 2015 pero no contemplaba la deuda pública. Los responsables de Repara tu Deuda Abogados explican que con esta sentencia se avanza para que la deuda con administraciones públicas también sea objeto de cancelación. En este caso, se ha conseguido la aprobación de un plan de pagos a cinco años asequible para el exonerado.</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los últimos meses,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https://www.notasdeprensa.es/repara-tu-deuda-cancela-110-753-en-salamanca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