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Barberà del Vallès (Barcelona) el 09/05/2021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10.117 € con deuda pública en Barberà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Jesús Salvador Gutiérrez, vecino de Barberà del Vallés (Barcelona), a quien el Juzgado de lo Mercantil nº11 de Barcelona ha concedido Beneficio de Exoneración del Pasivo Insatisfecho (BEPI), liberando al concursado de una deuda que ascendía a 10.117 euros. VER VIDEO</w:t>
            </w:r>
          </w:p>
          <w:p>
            <w:pPr>
              <w:ind w:left="-284" w:right="-427"/>
              <w:jc w:val="both"/>
              <w:rPr>
                <w:rFonts/>
                <w:color w:val="262626" w:themeColor="text1" w:themeTint="D9"/>
              </w:rPr>
            </w:pPr>
            <w:r>
              <w:t>Jesús Salvador explica que ahora “me siento tranquilo y aliviado. Es una inversión, cómoda, que hay que hacer pero que sirve para que te quiten una losa de encima”. Los abogados de Repara tu Deuda nos explican su historia: “tenía una tarjeta de la que iba haciendo uso. Tuvo un apuro en un momento dado, por lo que pidió un préstamo. Pensaba que podría hacer frente a los pagos. Sin embargo, poco a poco se le hizo una pequeña montaña y no tuvo opción de rebajar el importe de su cuota. Aunque siempre quiso pagar, los intereses aumentaron y, al final, se dio por vencido”.</w:t>
            </w:r>
          </w:p>
          <w:p>
            <w:pPr>
              <w:ind w:left="-284" w:right="-427"/>
              <w:jc w:val="both"/>
              <w:rPr>
                <w:rFonts/>
                <w:color w:val="262626" w:themeColor="text1" w:themeTint="D9"/>
              </w:rPr>
            </w:pPr>
            <w:r>
              <w:t>El exonerado también tenía deuda pública con Hacienda y con el Ayuntamiento de Barberà del Vallès (Barcelona). La Ley de Segunda Oportunidad entró en vigor en España en 2015 pero hasta ahora no contemplaba la cancelación de la deuda pública, solamente la privada.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https://www.notasdeprensa.es/repara-tu-deuda-cancela-10-117-con-deuda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