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más de 47.674 € en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el 89% de todos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50 de Barcelona ha dictado Beneficio de Exoneración del Pasivo Insatisfecho (BEPI) en el caso de MB, quedando exonerada de una deuda de 47.674 euros contraída con tres bancos. El caso lo ha tramitado Repara tu Deuda Abogados, despacho de abogados líder en España en la Ley de Segunda Oportunidad.</w:t>
            </w:r>
          </w:p>
          <w:p>
            <w:pPr>
              <w:ind w:left="-284" w:right="-427"/>
              <w:jc w:val="both"/>
              <w:rPr>
                <w:rFonts/>
                <w:color w:val="262626" w:themeColor="text1" w:themeTint="D9"/>
              </w:rPr>
            </w:pPr>
            <w:r>
              <w:t>“MB -explican los abogados de Repara tu Deuda- tiene unos ingresos mensuales de 395 en concepto de pensión por invalidez, más 161 euros por desempleo”. La concursada no podía hacer frente a la deuda que había contraído y por eso acudió a Repara tu Deuda abogados en busca de solución.</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En la actualidad es el despacho de abogados que más casos ha llevado en España, el 89% del total,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https://www.notasdeprensa.es/repara-tu-deuda-abogados-cancela-mas-de-47-674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