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Lerida, España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en Lérida (Catalunya) 276.746 €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clienta tenia deudas con 5 bancos diferentes y con Hacienda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Lérida ha dictado Beneficio de Exoneración del Pasivo Insatisfecho (BEPI) o, lo que es lo mismo, ha cancelado las deudas a OC, vecina de la ciudad, divorciada y con un hijo a su cargo. OC acumulaba una deuda de 276.746 euros con 5 bancos, más 350 euros con Hacienda. Con una nómina de 649 euros y unos gastos mensuales de 638 euros en necesidades básicas, la situación de OC había llegado a ser muy crítica.</w:t>
            </w:r>
          </w:p>
          <w:p>
            <w:pPr>
              <w:ind w:left="-284" w:right="-427"/>
              <w:jc w:val="both"/>
              <w:rPr>
                <w:rFonts/>
                <w:color w:val="262626" w:themeColor="text1" w:themeTint="D9"/>
              </w:rPr>
            </w:pPr>
            <w:r>
              <w:t>La Ley de Segunda Oportunidad entró en vigor en España en 2015 pero hasta hace poco no contemplaba la cancelación de la deuda pública, solamente la relativa a acreedores privados. Los responsables de Repara tu Deuda, compañía pionera en España en tramitar la Ley de Segunda Oportunidad que ha llevado el caso de OC,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Así,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ostenta el 100% de éxito en casos tramitados, ha trabajado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https://www.notasdeprensa.es/repara-tu-deuda-abogados-cancela-en-lerida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