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Andalucía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71.834 € en Granada (Andalucía)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Aumentan las cancelaciones de deuda en Andalucía mediante la Ley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4 de Granada ha dictado Beneficio de Exoneración del Pasivo Insatisfecho (BEPI) en el caso de RG, vecino de Granada, quedando exonerado de una deuda de 71.834 euros contraída con cinco bancos. El caso lo ha tramitado Repara tu Deuda Abogados, despacho de abogados líder en España en la Ley de Segunda Oportunidad.</w:t>
            </w:r>
          </w:p>
          <w:p>
            <w:pPr>
              <w:ind w:left="-284" w:right="-427"/>
              <w:jc w:val="both"/>
              <w:rPr>
                <w:rFonts/>
                <w:color w:val="262626" w:themeColor="text1" w:themeTint="D9"/>
              </w:rPr>
            </w:pPr>
            <w:r>
              <w:t>“RG -explican los abogados- está separado con convenio, tiene tres hijos a quienes pasa pensión alimenticia por un total de 1.608 euros. Cuenta con unos ingresos de 2.565 euros de pensión por incapacidad absoluta. Uno de sus hijos disponía de las claves de acceso de los bancos y solicitó prestamos rápidos que transfirió a su cuenta. El hijo se gastó todo el dinero dejando la deuda al padre”. Ahora, gracias a Repara tu Deuda abogados y a la Ley de Segunda Oportunidad, RG ha quedado libre de sus deudas. </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https://www.notasdeprensa.es/repara-tu-deuda-abogados-cancela-71-834-en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