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13/12/2020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Repara tu Deuda Abogados cancela 59.300 € en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gestiona el 89% de los casos ocurridos en España mediante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narra la historia de MK, vecina de Mallorca que acudió al despacho de abogados en busca de ayuda: “MK tenía una pareja tóxica, con la que tuvo dos hijos. Fue muy valiente y se separó finalmente. Y con dicha separación arrastró todas las deudas que habían acumulado. Justo el día que decidió separarse inició el contrato con nosotros y en tan solo un año le hemos podido dar la gran noticia de que está libre de deudas”.</w:t>
            </w:r>
          </w:p>
          <w:p>
            <w:pPr>
              <w:ind w:left="-284" w:right="-427"/>
              <w:jc w:val="both"/>
              <w:rPr>
                <w:rFonts/>
                <w:color w:val="262626" w:themeColor="text1" w:themeTint="D9"/>
              </w:rPr>
            </w:pPr>
            <w:r>
              <w:t>Karina acumulaba una deuda de 59.300 euros que, gracias a los abogados de Repara tu Deuda abogados y a la Ley de Segunda Oportunidad, ha podido cancelar.</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https://www.notasdeprensa.es/repara-tu-deuda-abogados-cancela-59-300-en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Música Marketing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