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53.698 € con 23 bancos en Madrid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éxito y sentencias publicadas en la web diferencia al despacho de abogados del resto de competidores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CJ, vecino de Madrid, de origen colombiano y soltero, acudió a Repara tu Deuda, despacho de abogados líder en España en la Ley de Segunda Oportunidad, en una situación insostenible. “CJ había acumulado una deuda que ascendía a 53.698 euros con 23 bancos”, explican los abogados de Repara tu Deuda. Ahora, gracias al despacho de abogados y a la Ley de Segunda Oportunidad, puede empezar de cero, tras dictar el Juzgado de Primera Instancia nº87 de Madrid beneficio de exoneración del pasivo insatisfecho (BEPI) ante su caso y quedando de este modo canceladas sus deudas.</w:t>
            </w:r>
          </w:p>
          <w:p>
            <w:pPr>
              <w:ind w:left="-284" w:right="-427"/>
              <w:jc w:val="both"/>
              <w:rPr>
                <w:rFonts/>
                <w:color w:val="262626" w:themeColor="text1" w:themeTint="D9"/>
              </w:rPr>
            </w:pPr>
            <w:r>
              <w:t>Como en el caso de CJ, 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alcanzado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https://www.notasdeprensa.es/repara-tu-deuda-abogados-cancela-53-698-con-23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