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España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52.000 € en Alicante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GA, vecina de Alicante, de origen búlgaro, casada y con dos hijas, y a quien el Juzgado de lo Mercantil nº3 de Alicante, ha concedido Beneficio de Exoneración del Pasivo Insatisfecho (BEPI), liberándole de una deuda que ascendía 52.000 euros.</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dar a conocer esta posibilidad a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Respecto a 2019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https://www.notasdeprensa.es/repara-tu-deuda-abogados-cancela-52-000-en_1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