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Mairena de Alcor el 01/07/2022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37.673€ en Mairena del Alcor (Sevilla)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80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Mairena del Alcor (Sevilla). Mediante la gestión de Repara tu Deuda Abogados, el Juzgado de primera Instancia e Instrucción nº1 de Carmona ha dictado beneficio de exoneración del pasivo insatisfecho (BEPI), que había acumulado una deuda de 37.673 euros a la que no podía hacer frente. VER SENTENCIA.</w:t>
            </w:r>
          </w:p>
          <w:p>
            <w:pPr>
              <w:ind w:left="-284" w:right="-427"/>
              <w:jc w:val="both"/>
              <w:rPr>
                <w:rFonts/>
                <w:color w:val="262626" w:themeColor="text1" w:themeTint="D9"/>
              </w:rPr>
            </w:pPr>
            <w:r>
              <w:t>Como explican los abogados de Repara tu Deuda: “El origen del endeudamiento se sitúa alrededor de 2003. El exonerado se divorció de la que era su mujer por aquel entonces. Hasta el momento los suministros básicos estaban siendo sufragados con los ingresos conjuntos, pero con el divorcio se perdió el apoyo de los ingresos comunes y se sumaron gastos para llevar a cabo el nombrado divorcio. El exonerado era incapaz de asumir los gastos con la escueta nómina de 800 euros aproximadamente. La única solución del endeudado fue solicitar préstamos los cuales no pudo solventar.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80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https://www.notasdeprensa.es/repara-tu-deuda-abogados-cancela-37-673-en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