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36.500 € de deuda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36.500 euros en Valencia aplicando la Ley de Segunda Oportunidad.</w:t>
            </w:r>
          </w:p>
          <w:p>
            <w:pPr>
              <w:ind w:left="-284" w:right="-427"/>
              <w:jc w:val="both"/>
              <w:rPr>
                <w:rFonts/>
                <w:color w:val="262626" w:themeColor="text1" w:themeTint="D9"/>
              </w:rPr>
            </w:pPr>
            <w:r>
              <w:t>Se trata del caso de MC, casada, con dos hijos a su cargo y en situación de desempleo. Los abogados de Repara tu Deuda nos explican su historia: “MC y su marido acudieron a nosotros totalmente arruinados. No podían cumplir regularmente con sus obligaciones exigibles y debían dinero a cinco bancos”. Ahora, gracias a Repara tu Deuda abogados y a la Ley de Segunda Oportunidad, MC y su familia pueden empezar de nuevo, sin deudas, tras dictar el Juzgado de Primera Instancia nº20 de Valencia Beneficio de Exoneración del Pasivo Insatisfecho (BEPI).</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https://www.notasdeprensa.es/repara-tu-deuda-abogados-cancela-36-500-de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