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29.219 €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despacho de abogados son un matrimonio que tenía deudas con distintos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nº1 de Sabadell (Barcelona) ha exonerado, aplicando la Ley de Segunda Oportunidad, a AI y FC, matrimonio de Sabadell, de una deuda de 29.219 euros. El caso lo ha tramitado Repara tu Deuda, despacho de abogados líder en España en la aplicación de la Ley de la Segunda Oportunidad, que entró en vigor en España en 2015.</w:t>
            </w:r>
          </w:p>
          <w:p>
            <w:pPr>
              <w:ind w:left="-284" w:right="-427"/>
              <w:jc w:val="both"/>
              <w:rPr>
                <w:rFonts/>
                <w:color w:val="262626" w:themeColor="text1" w:themeTint="D9"/>
              </w:rPr>
            </w:pPr>
            <w:r>
              <w:t>Los abogados de Repara tu Deuda explican el caso: “AI y FC son un matrimonio de Sabadell, sin hijos y ambos pensionistas. Fueron pidiendo préstamos pequeños hasta llegar a una situación en la que no podían pagar la deuda contraída. AI acumuló 10.057 euros de deuda con tres bancos y FC,19.162 euros con seis entidades bancarias”.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concursado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https://www.notasdeprensa.es/repara-tu-deuda-abogados-cancela-29-219-en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