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(Extremadura) el 25/04/2021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28.125 € en Badajoz (Extremadura)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Badajoz (Extremadura). Mediante la gestión de Repara tu Deuda Abogados, el Juzgado de Primera Instancia nº3 de Badajoz ha dictado exoneración del pasivo insatisfecho en el caso de JMB, que había acumulado una deuda de 28.125 euros a la que no podía hacer frente.</w:t>
            </w:r>
          </w:p>
          <w:p>
            <w:pPr>
              <w:ind w:left="-284" w:right="-427"/>
              <w:jc w:val="both"/>
              <w:rPr>
                <w:rFonts/>
                <w:color w:val="262626" w:themeColor="text1" w:themeTint="D9"/>
              </w:rPr>
            </w:pPr>
            <w:r>
              <w:t>Como explican los abogados de Repara tu Deuda, el caso de JMB es el siguiente: “se quedó en paro y, mientras intentaba encontrar un nuevo trabajo, pidió varios créditos rápidos. Tardó más de lo que pensaba en poder empezar a ponerse al día en los pagos. Al final, fue sumando deudas hasta tener más de 20 acreedores. Al ver que su situación no mejoraba, decidió acogerse a  la Ley de Segunda Oportunidad. Ahora ya dispone de su cancelación y puede empezar una vida libre de deudas".</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Android y para IOS, bautizada con el nombre de MyRepara, para reducir aún más los costes del procedimiento y permitir un control total, así como también para que los abogados puedan asistir a reuniones mediante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https://www.notasdeprensa.es/repara-tu-deuda-abogados-cancela-28-125-en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