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Cornellà de Llobregat (Barcelona) el 23/05/2021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20.761€ en Cornellà (Barcelona)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de referencia en la Ley de la Segunda Oportunidad gestionan la mayor parte de todos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03 de Barcelona ha dictado Beneficio de Exoneración del Pasivo Insatisfecho (BEPI) en el caso de JN, vecino de Cornellà de Llobregat (Barcelona), soltero, quedando exonerado de una deuda de 20.761 euros. El caso lo ha tramitado Repara tu Deuda Abogados, despacho de abogados líder en España en la Ley de Segunda Oportunidad.</w:t>
            </w:r>
          </w:p>
          <w:p>
            <w:pPr>
              <w:ind w:left="-284" w:right="-427"/>
              <w:jc w:val="both"/>
              <w:rPr>
                <w:rFonts/>
                <w:color w:val="262626" w:themeColor="text1" w:themeTint="D9"/>
              </w:rPr>
            </w:pPr>
            <w:r>
              <w:t>“JN -explican los abogados de Repara tu Deuda- se quedó sin trabajo. Por esta razón, empezó a pedir una serie de créditos. Con ellos intentó pagar el piso, las averías de su camión y los gastos de alimentación. Sin embargo, no pudo salir de la situación de endeudamiento y acudió a  Repara tu Deuda abogados en busca de una solución”.</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son una de las claves para elegir correctamente y no caer en engaños. Así lo revela Bertín Osborne, nueva imagen de Repara tu Deuda Abogados. En la actualidad es el despacho de abogados que más casos ha llevado en España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https://www.notasdeprensa.es/repara-tu-deuda-abogados-cancela-20-761-en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