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153.608 € de deuda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único despacho de abogados en España dedicado exclusivamente a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MJ, vecino de Barcelona, casado y con tres hijos a su cargo, y a quien el Juzgado ha cancelado una deuda que ascendía a 153.608 euros aplicando la Ley de Segunda Oportunidad. El caso lo ha tramitado Repara tu Deuda Abogados, despacho de abogados pionero y líder en España, que ha gestionado el 89% de todos los casos llevados a cabo en España y que ostenta el 100% de éxito en todos los casos.</w:t>
            </w:r>
          </w:p>
          <w:p>
            <w:pPr>
              <w:ind w:left="-284" w:right="-427"/>
              <w:jc w:val="both"/>
              <w:rPr>
                <w:rFonts/>
                <w:color w:val="262626" w:themeColor="text1" w:themeTint="D9"/>
              </w:rPr>
            </w:pPr>
            <w:r>
              <w:t>Los abogados de Repara tu Deuda explican el caso de MJ: “Hizo dación en pago de su vivienda y le quedo la famosa mochila de 143.591€, estuvo en trámites con dos despachos de abogados con los que no llegó a solventar nada, hasta que nos conoció a nosotros” comenta Ana Isabel García, Abogada responsable del departamento jurídico. En la actualidad, MJ tiene una nueva oportunidad para empezar de cero, gracias a Repara tu Deuda abogados y a la Ley de Segunda Oportunidad. </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ayuda, desde que puso en marcha su actividad, a todas las personas que lo necesiten, sea cual sea su perfil y poder adquisitivo. La consultora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https://www.notasdeprensa.es/repara-tu-deuda-abogados-cancela-153-608-de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