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147.956 € en Terrassa (Barcelona)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AC, vecino de Terrassa, soltero, a quien el Juzgado de lo Mercantil nº11 de Barcelona ha concedido el Beneficio de Exoneración del Pasivo Insatisfecho (BEPI), liberándole de una deuda que ascendía a 147.956 euros.</w:t>
            </w:r>
          </w:p>
          <w:p>
            <w:pPr>
              <w:ind w:left="-284" w:right="-427"/>
              <w:jc w:val="both"/>
              <w:rPr>
                <w:rFonts/>
                <w:color w:val="262626" w:themeColor="text1" w:themeTint="D9"/>
              </w:rPr>
            </w:pPr>
            <w:r>
              <w:t>AC tenía una franquicia de restauración. La administradora de la franquicia desapareció y el resto de personas tuvieron que quedarse con la deuda. Poco tiempo después, empezaron los embargos en la nómina y la situación se volvió insostenible.</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 En concreto, se puede hablar de una cifra de 13.231 de personas en España que se acogieron a esta ley en 2020 para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Es importante resaltar que el número total de personas que se han acogido durante el último año a la Ley de la Segunda Oportunidad se ha incrementado considerablemente. Este mecanismo ya es una realidad en todas las comunidades autónomas de España, siendo Catalunya la pionera del ranking nacional. “Hemos invertido millones de euros en tecnología y en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específicos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https://www.notasdeprensa.es/repara-tu-deuda-abogados-cancela-147-956-en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