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Policlínica Gipuzkoa y Quirónsalud serán el Servicio Médico Oficial del Festival de 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69ª edición del Festival se celebrará con el patrocinio de Policlínica Gipuzkoa y Quirónsalud del 17 al 25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Policlínica Gipuzkoa y el Hospital Quirónsalud Donostia serán el Servicio Médico Oficial en esta 69ª edición del Festival de San Sebastián.</w:t>
            </w:r>
          </w:p>
          <w:p>
            <w:pPr>
              <w:ind w:left="-284" w:right="-427"/>
              <w:jc w:val="both"/>
              <w:rPr>
                <w:rFonts/>
                <w:color w:val="262626" w:themeColor="text1" w:themeTint="D9"/>
              </w:rPr>
            </w:pPr>
            <w:r>
              <w:t>Desde el 17 al 25 de septiembre, ambos centros serán el Servicio Médico Oficial del Festival, y como tal, prestarán los servicios médicos que se precisen o requieran por parte de los miembros del Jurado y los equipos de las películas participantes en esta edición.</w:t>
            </w:r>
          </w:p>
          <w:p>
            <w:pPr>
              <w:ind w:left="-284" w:right="-427"/>
              <w:jc w:val="both"/>
              <w:rPr>
                <w:rFonts/>
                <w:color w:val="262626" w:themeColor="text1" w:themeTint="D9"/>
              </w:rPr>
            </w:pPr>
            <w:r>
              <w:t>El Festival alcanza este año su 69 edición, con el mismo entusiasmo con que nació un 21 de septiembre de 1953, sin haber sufrido interrupción alguna desde su creación.</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686241527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https://www.notasdeprensa.es/policlinica-gipuzkoa-y-quironsalud-seran-el_1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Cine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