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Plus500 anuncia unos ingresos de 720,4 millones de dólares en 2018, un 65% más que el pasado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número total de transacciones del Grupo en 2018 aumentó un 6% en términos interanuales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Plus500 (www.plus500.es), la plataforma online de negociación de CFDs a nivel global, ha anunciado los resultados preliminares sin auditar cerrados a fecha 31 de diciembre de 2018, los cuales muestran unos ingresos de 720,4 millones de dólares en 2018, un 65% más que el pasado año.</w:t>
            </w:r>
          </w:p>
          <w:p>
            <w:pPr>
              <w:ind w:left="-284" w:right="-427"/>
              <w:jc w:val="both"/>
              <w:rPr>
                <w:rFonts/>
                <w:color w:val="262626" w:themeColor="text1" w:themeTint="D9"/>
              </w:rPr>
            </w:pPr>
            <w:r>
              <w:t>Año con rendimiento financiero récordExcepcional primer trimestre con grandes beneficios en el trading de criptomonedas en particular; EL mercado P and L tuvo una ganancia total de $172 millones (Año fiscal 2017: pérdida de $103 millones); En el Espacio Económico Europeo hubo un rendimiento moderado por las medidas de la ESMA aplicadas en agosto de 2018, compensado por unas ganancias de $56 millones en el mercado de P and L durante el cuarto trimestre de 2018; El margen de EBITDA se incrementó a un excepcional 70,2 %, reflejando unos ingresos récord y un apalancamiento operativo (Año fiscal 2017: 59,3 %).</w:t>
            </w:r>
          </w:p>
          <w:p>
            <w:pPr>
              <w:ind w:left="-284" w:right="-427"/>
              <w:jc w:val="both"/>
              <w:rPr>
                <w:rFonts/>
                <w:color w:val="262626" w:themeColor="text1" w:themeTint="D9"/>
              </w:rPr>
            </w:pPr>
            <w:r>
              <w:t>Sólida situación financieraUn balance libre de deudas y gran efectivo en el ratio de conversión[4] (98 %)</w:t>
            </w:r>
          </w:p>
          <w:p>
            <w:pPr>
              <w:ind w:left="-284" w:right="-427"/>
              <w:jc w:val="both"/>
              <w:rPr>
                <w:rFonts/>
                <w:color w:val="262626" w:themeColor="text1" w:themeTint="D9"/>
              </w:rPr>
            </w:pPr>
            <w:r>
              <w:t>Grandes rendimientos para los accionistasDividendo final recomendado de $0,6191 por acción (dividendo final 2017: $0,8129 por acción); El dividendo final incluye un total de $229,7 millones (2017: $199,6 millones) ofreciendo rentabilidad a los accionistas. Está compuesto por dividendos de $ 227,4 millones y $ 2,3 millones iniciales de un programa de recompra de acciones de $ 10 millones, durante el periodo; La compañía sigue generando efectivo y mantiene su desembolso en un 60%, de acuerdo a su política interna, con dividendos intermedios y finales divididos de acuerdo a las ganancias semestrales; La junta continuará evaluando la disponibilidad de cualquier excedente de capital y priorizando su uso, como siempre ha hecho, entre la inversión de valor agregado y las oportunidades de crecimiento y los rendimientos adicionales para los accionistas.</w:t>
            </w:r>
          </w:p>
          <w:p>
            <w:pPr>
              <w:ind w:left="-284" w:right="-427"/>
              <w:jc w:val="both"/>
              <w:rPr>
                <w:rFonts/>
                <w:color w:val="262626" w:themeColor="text1" w:themeTint="D9"/>
              </w:rPr>
            </w:pPr>
            <w:r>
              <w:t>Highlights operacionales</w:t>
            </w:r>
          </w:p>
          <w:p>
            <w:pPr>
              <w:ind w:left="-284" w:right="-427"/>
              <w:jc w:val="both"/>
              <w:rPr>
                <w:rFonts/>
                <w:color w:val="262626" w:themeColor="text1" w:themeTint="D9"/>
              </w:rPr>
            </w:pPr>
            <w:r>
              <w:t>Gran avance y actividad de tradingEl número total de transacciones en 2018 aumentó un 6% en términos interanuales; Más de 3 millones de transacciones por mes de media; Más de $1,3 mil millones en depósitos de clientes, que reflejan una gran confianza en la marca Plus500.</w:t>
            </w:r>
          </w:p>
          <w:p>
            <w:pPr>
              <w:ind w:left="-284" w:right="-427"/>
              <w:jc w:val="both"/>
              <w:rPr>
                <w:rFonts/>
                <w:color w:val="262626" w:themeColor="text1" w:themeTint="D9"/>
              </w:rPr>
            </w:pPr>
            <w:r>
              <w:t>Continúa la expansión de la presencia global y la diversificación de los ingresos fuera del EEA:Los ingresos domiciliados en Australia aumentaron aproximadamente cuatro veces en términos interanuales y representaron el 12% de los ingresos del grupo en el año 2018; Puesta en marcha del lanzamiento en Singapur.</w:t>
            </w:r>
          </w:p>
          <w:p>
            <w:pPr>
              <w:ind w:left="-284" w:right="-427"/>
              <w:jc w:val="both"/>
              <w:rPr>
                <w:rFonts/>
                <w:color w:val="262626" w:themeColor="text1" w:themeTint="D9"/>
              </w:rPr>
            </w:pPr>
            <w:r>
              <w:t>La posición de liderazgo en la industria aumentó:El mayor proveedor de CFD en el Reino Unido[5] , España[6] y Alemania[7]; Mejor plataforma móvil calificada entre los operadores de CFD en Australia[8]; Liderazgo en tecnología e innovación de producto; Más del 77 % de los ingresos proceden de dispositivos móviles; Se mantiene la posición como app de la industria con mayor valoración de los clientes tanto en la AppStore de Apple como en el Google Play Store.</w:t>
            </w:r>
          </w:p>
          <w:p>
            <w:pPr>
              <w:ind w:left="-284" w:right="-427"/>
              <w:jc w:val="both"/>
              <w:rPr>
                <w:rFonts/>
                <w:color w:val="262626" w:themeColor="text1" w:themeTint="D9"/>
              </w:rPr>
            </w:pPr>
            <w:r>
              <w:t>Ingreso en el Mercado Principal de la Bolsa de Londres completado el 26 de junio de 2018; ingreso en el FTSE250 en Septiembre de 2018;</w:t>
            </w:r>
          </w:p>
          <w:p>
            <w:pPr>
              <w:ind w:left="-284" w:right="-427"/>
              <w:jc w:val="both"/>
              <w:rPr>
                <w:rFonts/>
                <w:color w:val="262626" w:themeColor="text1" w:themeTint="D9"/>
              </w:rPr>
            </w:pPr>
            <w:r>
              <w:t>Perspectiva Regulatoria:La tecnología punta del grupo se ajusta a la rapidez y eficiencia de los recientes cambios regulatorios, que incluyen MiFID II, GDPR y las medidas de intervención ESMA;</w:t>
            </w:r>
          </w:p>
          <w:p>
            <w:pPr>
              <w:ind w:left="-284" w:right="-427"/>
              <w:jc w:val="both"/>
              <w:rPr>
                <w:rFonts/>
                <w:color w:val="262626" w:themeColor="text1" w:themeTint="D9"/>
              </w:rPr>
            </w:pPr>
            <w:r>
              <w:t>Los países fuera de la EEA representan aproximadamente el 33% de los ingresos del ejercicio del grupo en 2018 y el 40% de los ingresos del segundo semestre del año.</w:t>
            </w:r>
          </w:p>
          <w:p>
            <w:pPr>
              <w:ind w:left="-284" w:right="-427"/>
              <w:jc w:val="both"/>
              <w:rPr>
                <w:rFonts/>
                <w:color w:val="262626" w:themeColor="text1" w:themeTint="D9"/>
              </w:rPr>
            </w:pPr>
            <w:r>
              <w:t>Cliente profesional electivo (EPC) en el año fiscal 2018: 16.475 clientes solicitaron la categorización para ser EPC; 7.229 clientes fueron aprobados (el 44% de clientes que lo solicitaron); Los ingresos procedentes de las EPC en 2018 representaron aproximadamente el 29% de los ingresos anuales del grupo en el EEA, y el 61% del segundo semestre de 2018; La solicitud, evaluación y aprobación de la EPC se procesa generalmente de acuerdo a las expectativas del grupo.</w:t>
            </w:r>
          </w:p>
          <w:p>
            <w:pPr>
              <w:ind w:left="-284" w:right="-427"/>
              <w:jc w:val="both"/>
              <w:rPr>
                <w:rFonts/>
                <w:color w:val="262626" w:themeColor="text1" w:themeTint="D9"/>
              </w:rPr>
            </w:pPr>
            <w:r>
              <w:t>Trading actual:2019 ha comenzado con KPIS operacionales positivos. La cantidad de nuevos clientes[9], clientes activos[10] y nuevas operaciones se sitúan por delante de las cifras del final del 2018;</w:t>
            </w:r>
          </w:p>
          <w:p>
            <w:pPr>
              <w:ind w:left="-284" w:right="-427"/>
              <w:jc w:val="both"/>
              <w:rPr>
                <w:rFonts/>
                <w:color w:val="262626" w:themeColor="text1" w:themeTint="D9"/>
              </w:rPr>
            </w:pPr>
            <w:r>
              <w:t>Siguiendo la última evaluación del impacto de las nuevas reglamentarias de la ESMA, se espera que los ingresos del 2019 sean más bajos que las expectativas actuales del mercado. Esto, combinado con la intención del Grupo de mantener su inversión actual en marketing, es probable que se vea reflejado en unas ganancias en 2019 diferentes respecto a las expectativas actuales del mercado;</w:t>
            </w:r>
          </w:p>
          <w:p>
            <w:pPr>
              <w:ind w:left="-284" w:right="-427"/>
              <w:jc w:val="both"/>
              <w:rPr>
                <w:rFonts/>
                <w:color w:val="262626" w:themeColor="text1" w:themeTint="D9"/>
              </w:rPr>
            </w:pPr>
            <w:r>
              <w:t>Se está trabajando para expandir la marca y continuar diversificando los ingresos a través del crecimiento en los territorios actuales, añadiendo nuevas licencias operativas.</w:t>
            </w:r>
          </w:p>
          <w:p>
            <w:pPr>
              <w:ind w:left="-284" w:right="-427"/>
              <w:jc w:val="both"/>
              <w:rPr>
                <w:rFonts/>
                <w:color w:val="262626" w:themeColor="text1" w:themeTint="D9"/>
              </w:rPr>
            </w:pPr>
            <w:r>
              <w:t>Asaf Elimelech, C.E.O de Plus500 "Nos complace anunciar un año de resultados récord por encima de nuestras expectativas. Estos resultados muestran nuestro fuerte rendimiento operativo y nuestra diferenciación respecto al resto de actores de la industria. Nuestro enfoque de innovación y el liderazgo tecnológico nos sigue brindando beneficios a través de la adquisición de nuevos clientes y el incremento en la fidelización. Un dato que se refleja en la baja tendencia de pérdida de clientes".</w:t>
            </w:r>
          </w:p>
          <w:p>
            <w:pPr>
              <w:ind w:left="-284" w:right="-427"/>
              <w:jc w:val="both"/>
              <w:rPr>
                <w:rFonts/>
                <w:color w:val="262626" w:themeColor="text1" w:themeTint="D9"/>
              </w:rPr>
            </w:pPr>
            <w:r>
              <w:t>"Ha sido un año trascendental para nosotros, ya que completamos con éxito nuestro movimiento hacia el segmento de cotización premium de la lista oficial y la negociación en el Mercado Principal de Compañías que cotizan en la Bolsa de Valores de Londres, con la posterior inclusión en el FTSE250, solo cinco años después desde nuestra exitosa salida a bolsa AIM IPO. Estos movimientos están aumentando el interés en Plus500 y esperamos que crezca aún más la confianza de los inversores en El Grupo".</w:t>
            </w:r>
          </w:p>
          <w:p>
            <w:pPr>
              <w:ind w:left="-284" w:right="-427"/>
              <w:jc w:val="both"/>
              <w:rPr>
                <w:rFonts/>
                <w:color w:val="262626" w:themeColor="text1" w:themeTint="D9"/>
              </w:rPr>
            </w:pPr>
            <w:r>
              <w:t>"El año también fue importante por la introducción de las medidas regulatorias de la Autoridad Europea de Valores y Mercados (ESMA) en agosto de 2018. A pesar de que hemos visto una marcada reducción de ingresos adjudicados al grupo, dimos la bienvenida al nuevo marco regulatorio, ya que está destinado a garantizar un trading seguro promoviendo una mayor transparencia y resultados más justos para los clientes. Esto crea un contexto en el que se espera que Plus500 sobresalga a medio y largo plazo".</w:t>
            </w:r>
          </w:p>
          <w:p>
            <w:pPr>
              <w:ind w:left="-284" w:right="-427"/>
              <w:jc w:val="both"/>
              <w:rPr>
                <w:rFonts/>
                <w:color w:val="262626" w:themeColor="text1" w:themeTint="D9"/>
              </w:rPr>
            </w:pPr>
            <w:r>
              <w:t>"Nuestras licencias de operación en el Reino Unido, Australia, Chipre, Nueva Zelanda, Israel, Sudáfrica y Singapur, proporcionan una base sólida en este nuevo entorno y beneficios en ingresos más diversificados".</w:t>
            </w:r>
          </w:p>
          <w:p>
            <w:pPr>
              <w:ind w:left="-284" w:right="-427"/>
              <w:jc w:val="both"/>
              <w:rPr>
                <w:rFonts/>
                <w:color w:val="262626" w:themeColor="text1" w:themeTint="D9"/>
              </w:rPr>
            </w:pPr>
            <w:r>
              <w:t>"En resumen, gracias a nuestro modelo de negocio altamente flexible y escalable, nuestra posición de líder en la industria y en cuota de mercado, nuestra tecnología punta, estructura reducida de costes y una sólida posición financiera, ayudará a mitigar el impacto de los cambios regulatorios garantizando un gran desempeño financiero. Estamos confiados en poder continuar desarrollando exitosamente nuestro negocio y expandirnos a nuevos mercados, lo que nos permitirá continuar proporcionando beneficios a los accionistas".</w:t>
            </w:r>
          </w:p>
          <w:p>
            <w:pPr>
              <w:ind w:left="-284" w:right="-427"/>
              <w:jc w:val="both"/>
              <w:rPr>
                <w:rFonts/>
                <w:color w:val="262626" w:themeColor="text1" w:themeTint="D9"/>
              </w:rPr>
            </w:pPr>
            <w:r>
              <w:t>La Compañía considera que la información contenida en este anuncio constituye información privilegiada según lo estipulado en el Reglamento de abuso de mercado (MAR). Tras la publicación de este anuncio a través del Servicio de información reglamentario (RIS), esta información interna ahora se considera de dominio público.</w:t>
            </w:r>
          </w:p>
          <w:p>
            <w:pPr>
              <w:ind w:left="-284" w:right="-427"/>
              <w:jc w:val="both"/>
              <w:rPr>
                <w:rFonts/>
                <w:color w:val="262626" w:themeColor="text1" w:themeTint="D9"/>
              </w:rPr>
            </w:pPr>
            <w:r>
              <w:t>[1] EBITDA - Beneficio antes de intereses, impuestos, depreciaciones y amortizaciones</w:t>
            </w:r>
          </w:p>
          <w:p>
            <w:pPr>
              <w:ind w:left="-284" w:right="-427"/>
              <w:jc w:val="both"/>
              <w:rPr>
                <w:rFonts/>
                <w:color w:val="262626" w:themeColor="text1" w:themeTint="D9"/>
              </w:rPr>
            </w:pPr>
            <w:r>
              <w:t>2 ARPU - Promedio de ingresos por usuario</w:t>
            </w:r>
          </w:p>
          <w:p>
            <w:pPr>
              <w:ind w:left="-284" w:right="-427"/>
              <w:jc w:val="both"/>
              <w:rPr>
                <w:rFonts/>
                <w:color w:val="262626" w:themeColor="text1" w:themeTint="D9"/>
              </w:rPr>
            </w:pPr>
            <w:r>
              <w:t>3 AUAC - Costo medio de adquisición de nuevos usuarios</w:t>
            </w:r>
          </w:p>
          <w:p>
            <w:pPr>
              <w:ind w:left="-284" w:right="-427"/>
              <w:jc w:val="both"/>
              <w:rPr>
                <w:rFonts/>
                <w:color w:val="262626" w:themeColor="text1" w:themeTint="D9"/>
              </w:rPr>
            </w:pPr>
            <w:r>
              <w:t>[4] Efectivo generado de las operaciones / EBITDA</w:t>
            </w:r>
          </w:p>
          <w:p>
            <w:pPr>
              <w:ind w:left="-284" w:right="-427"/>
              <w:jc w:val="both"/>
              <w:rPr>
                <w:rFonts/>
                <w:color w:val="262626" w:themeColor="text1" w:themeTint="D9"/>
              </w:rPr>
            </w:pPr>
            <w:r>
              <w:t>5 Por el número total de relaciones de cliente, Informe de inversión Reino Unido 2018</w:t>
            </w:r>
          </w:p>
          <w:p>
            <w:pPr>
              <w:ind w:left="-284" w:right="-427"/>
              <w:jc w:val="both"/>
              <w:rPr>
                <w:rFonts/>
                <w:color w:val="262626" w:themeColor="text1" w:themeTint="D9"/>
              </w:rPr>
            </w:pPr>
            <w:r>
              <w:t>[6] Por el número total de relaciones de cliente, Informe Alemania y España CFD  and  FX 2018</w:t>
            </w:r>
          </w:p>
          <w:p>
            <w:pPr>
              <w:ind w:left="-284" w:right="-427"/>
              <w:jc w:val="both"/>
              <w:rPr>
                <w:rFonts/>
                <w:color w:val="262626" w:themeColor="text1" w:themeTint="D9"/>
              </w:rPr>
            </w:pPr>
            <w:r>
              <w:t>[7] Por el número total de relaciones de cliente, Informe Alemania y España CFD  and  FX 2018</w:t>
            </w:r>
          </w:p>
          <w:p>
            <w:pPr>
              <w:ind w:left="-284" w:right="-427"/>
              <w:jc w:val="both"/>
              <w:rPr>
                <w:rFonts/>
                <w:color w:val="262626" w:themeColor="text1" w:themeTint="D9"/>
              </w:rPr>
            </w:pPr>
            <w:r>
              <w:t>[8] Por calificación propia de cliente, Informe AU CFD 2017</w:t>
            </w:r>
          </w:p>
          <w:p>
            <w:pPr>
              <w:ind w:left="-284" w:right="-427"/>
              <w:jc w:val="both"/>
              <w:rPr>
                <w:rFonts/>
                <w:color w:val="262626" w:themeColor="text1" w:themeTint="D9"/>
              </w:rPr>
            </w:pPr>
            <w:r>
              <w:t>[9] Clientes que depositaron por primera vez durante el periodo</w:t>
            </w:r>
          </w:p>
          <w:p>
            <w:pPr>
              <w:ind w:left="-284" w:right="-427"/>
              <w:jc w:val="both"/>
              <w:rPr>
                <w:rFonts/>
                <w:color w:val="262626" w:themeColor="text1" w:themeTint="D9"/>
              </w:rPr>
            </w:pPr>
            <w:r>
              <w:t>[10] Clientes que hicieron al menos una intercambio real de dinero durante el periodo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Urrestarazu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636566095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https://www.notasdeprensa.es/plus500-anuncia-unos-ingresos-de-7204-millones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Marketing Emprendedores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