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apuesta por la movilidad sostenible y compra un 174% más de vehículos eléctricos en el último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Northgate se posiciona como el líder de renting de vehículos eléctricos industriales. La compañía de renting flexible está desarrollando un plan de electrificación con el que está transformando su flota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Renting Flexible, compañía líder en el ámbito de la movilidad y pionero en la prestación de servicios de renting flexible, apuesta por la movilidad profesional sostenible, y por ello en el último ejercicio ha matriculado un 174% más de vehículos eléctricos.Northgate apostó por la movilidad eléctrica hace cinco años, incorporando esta tipología de vehículos a su flota, y ofreciéndolos bajo la modalidad de renting flexible. Desde entonces ha ido incrementando el número de vehículos eléctricos de manera constante, habiendo alcanzado un crecimiento del 174% en el último año. De manera concreta, recientemente ha incorporado a su flota 100 Seat MII eléctricos, que están disponibles en sus centros de toda España, concentrándose un 75% en sus delegaciones de Madrid, Barcelona, Sevilla y Valencia.Y es que en la actualidad la compañía se encuentra inmersa en un plan de electrificación de su flota, posicionándose como líder del sector en vehículos industriales sostenibles. Además, la modalidad de contratación que el operador ofrece al mercado, el renting flexible, se perfila como la mejor plataforma para lanzar el uso de vehículos eléctricos, ya que permite a empresas, autónomos y particulares comprobar cómo esta tipología de vehículos puede resolver sus necesidades de movilidad, despejando posibles dudas sobre su rendimiento sin tener que adquirir compromisos a largo plazo.En este sentido, en enero de 2021, las empresas de renting matricularon el 28,8% del total de vehículos eléctricos, una clara apuesta por parte del sector, que está impulsando la incorporación de esta tipología de en el parque de vehículos. De hecho, el total de vehículos propulsados por energías alternativas – VEAS – que ha matriculado el sector del renting, y dentro de la cual se enmarcan los vehículos eléctricos, creció un 7,73% respecto a enero 2020, de acuerdo con los datos publicados en enero de este año por la Asociación Española de Renting.Además, este plan de electrificación de flota alinea a Northgate con los objetivos de transición climática marcados en el Acuerdo de París, que busca limitar el aumento de la temperatura global del planeta por debajo de los dos grados, con el objetivo concreto de reducir al menos un 40% la emisión de gases de efecto invernadero del Pacto Verde Europeo.Para Nacho Aliaga, Director de Flota de Northgate Renting Flexible, “la flota eléctrica representa el presente y futuro inmediato de la movilidad, y el papel de las compañías de renting es vital para introducir estas tipologías y ponerlas al alcance de los usuarios con plenas garantías. En Northgate sabemos que es el momento de transformar nuestra flota, adaptándonos a las necesidades del cliente, y ofrecer de manera proactiva una opción flexible a empresas, profesionales y particulares. Con el plan de electrificación en el que estamos trabajando, la compañía se pondrá a la cabeza de las empresas de renting en España que invierten en vehículos sostenibles”.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Reyes Pablo-Romero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678114416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https://www.notasdeprensa.es/northgate-apuesta-por-la-movilidad-sostenible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Turismo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