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GLOBAL RISKS presenta sus iniciativas estratégicas para convertirse en una operadora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CEO de la entidad, Alfredo Castelo, presenta las iniciativas estratégicas con las que pretende convertirse en el medio plazo en una operadora global, tanto en el desarrollo de su actividad como en su oferta aseguradora
A su liderazgo en España, suma su posicionamiento como la compañía de referencia en Latinoamérica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MAPFRE GLOBAL RISKS, la unidad de MAPFRE especializada en proveer soluciones aseguradoras integrales para compañías multinacionales, ha logrado convertirse, en tan solo cinco años, en compañía de referencia en Latinoamérica en el segmento de grandes cuentas. Ya cuenta como clientes al 80 por ciento del top 25 Multilatinas.</w:t>
            </w:r>
          </w:p>
          <w:p>
            <w:pPr>
              <w:ind w:left="-284" w:right="-427"/>
              <w:jc w:val="both"/>
              <w:rPr>
                <w:rFonts/>
                <w:color w:val="262626" w:themeColor="text1" w:themeTint="D9"/>
              </w:rPr>
            </w:pPr>
            <w:r>
              <w:t>	En 2014 MAPFRE GLOBAL RISKS, obtuvo unas primas de 1.049 millones de euros y unos beneficios de 44 millones. La empresa continua, además, siendo líder en el mercado español, y en los próximos años se ha fijado como meta consolidar su posicionamiento en Latam e incrementar su negocio en el resto de áreas geográficas.</w:t>
            </w:r>
          </w:p>
          <w:p>
            <w:pPr>
              <w:ind w:left="-284" w:right="-427"/>
              <w:jc w:val="both"/>
              <w:rPr>
                <w:rFonts/>
                <w:color w:val="262626" w:themeColor="text1" w:themeTint="D9"/>
              </w:rPr>
            </w:pPr>
            <w:r>
              <w:t>	Las iniciativas estratégicas presentadas por el CEO de la entidad en su intervención, tienen como objetivo garantizar un servicio eficaz al cliente a nivel global. Para esto la compañía está poniendo foco tanto en el desarrollo de su estructura operativa en mercados clave, como en el impulso de determinados mercados y productos, así como en la preparación de equipos y los sistemas.</w:t>
            </w:r>
          </w:p>
          <w:p>
            <w:pPr>
              <w:ind w:left="-284" w:right="-427"/>
              <w:jc w:val="both"/>
              <w:rPr>
                <w:rFonts/>
                <w:color w:val="262626" w:themeColor="text1" w:themeTint="D9"/>
              </w:rPr>
            </w:pPr>
            <w:r>
              <w:t>	Los retos a los que se enfrenta la industria aseguradora en el entorno actual de recuperación económica y las nuevas oportunidades que se abren para este sector en los diferentes mercados internacionales han sido algunos de los temas principales abordados en los debates del Seminario, un encuentro que se ha convertido en un referente para la industria al que han asistido aproximadamente 500 personas de más 25 países.</w:t>
            </w:r>
          </w:p>
          <w:p>
            <w:pPr>
              <w:ind w:left="-284" w:right="-427"/>
              <w:jc w:val="both"/>
              <w:rPr>
                <w:rFonts/>
                <w:color w:val="262626" w:themeColor="text1" w:themeTint="D9"/>
              </w:rPr>
            </w:pPr>
            <w:r>
              <w:t>	El Alcalde de Bilbao, Ibon Areso, y el Presidente de MAPFRE, Antonio Huertas, serán los encargados de clausurar mañana este encuentro, que ha convertido a Bilbao durante estos días en la capital de la industria aseguradora.</w:t>
            </w:r>
          </w:p>
          <w:p>
            <w:pPr>
              <w:ind w:left="-284" w:right="-427"/>
              <w:jc w:val="both"/>
              <w:rPr>
                <w:rFonts/>
                <w:color w:val="262626" w:themeColor="text1" w:themeTint="D9"/>
              </w:rPr>
            </w:pPr>
            <w:r>
              <w:t>			Entidades:</w:t>
            </w:r>
          </w:p>
          <w:p>
            <w:pPr>
              <w:ind w:left="-284" w:right="-427"/>
              <w:jc w:val="both"/>
              <w:rPr>
                <w:rFonts/>
                <w:color w:val="262626" w:themeColor="text1" w:themeTint="D9"/>
              </w:rPr>
            </w:pPr>
            <w:r>
              <w:t>		MAPFRE GLOBAL RISKS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https://www.notasdeprensa.es/mapfre-global-risks-presenta-sus-iniciativas_1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