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índices de ocupación hotelera esperados para octubre, noviembre y diciembre son 82%, 77% y el 72% respectivamente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65,17% de los gestores de los establecimientos hoteleros de Canarias considera que la marcha de su negocio durante el cuarto trimestre de 2015 será favorable mientras que 3,46% opina que será desfavorable. Aproximadamente el 31% restante considera que será normal. Por tanto, la diferencia entre los porcentajes de las respuestas favorables y las desfavorables, denominada Balance de Expectativas, se sitúa en 61,71 puntos para el total de Canarias.</w:t>
            </w:r>
          </w:p>
          <w:p>
            <w:pPr>
              <w:ind w:left="-284" w:right="-427"/>
              <w:jc w:val="both"/>
              <w:rPr>
                <w:rFonts/>
                <w:color w:val="262626" w:themeColor="text1" w:themeTint="D9"/>
              </w:rPr>
            </w:pPr>
            <w:r>
              <w:t>Respecto a la tendencia del grado de ocupación para el cuarto trimestre, en relación a 2014, el 37,4% de los hoteleros considera que subirá, mientras que el 6,4% opina que descenderá, lo que significa un saldo positivo para Canarias de 31 puntos. En ese sentido los hoteleros esperan que para el mes de octubre el índice de ocupación hotelera se sitúe en el 82%, para noviembre en el 77% y para diciembre en el 72%.</w:t>
            </w:r>
          </w:p>
          <w:p>
            <w:pPr>
              <w:ind w:left="-284" w:right="-427"/>
              <w:jc w:val="both"/>
              <w:rPr>
                <w:rFonts/>
                <w:color w:val="262626" w:themeColor="text1" w:themeTint="D9"/>
              </w:rPr>
            </w:pPr>
            <w:r>
              <w:t>El Índice de Confianza Hotelera (ICH), calculado en base primer trimestre 2013 para armonizarlo con el Índice de Confianza Empresarial (ICE), aumenta respecto al cuarto trimestre de 2014 pasando de 119,87 a 124,15.</w:t>
            </w:r>
          </w:p>
          <w:p>
            <w:pPr>
              <w:ind w:left="-284" w:right="-427"/>
              <w:jc w:val="both"/>
              <w:rPr>
                <w:rFonts/>
                <w:color w:val="262626" w:themeColor="text1" w:themeTint="D9"/>
              </w:rPr>
            </w:pPr>
            <w:r>
              <w:t>En este sentido el ICE para el cuarto trimestre se sitúa en 130,6 seis puntos superior al ICH, el índice en el sector de transporte y hostelería es 133,4 nueve puntos superior al ICH.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https://www.notasdeprensa.es/los-indices-de-ocupacion-hotelera-esperados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