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12/02/2016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Colegios CEU siguen apostando por la Internacionalización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Para ello los Departamentos CEU Languages de los Colegios han firmado un convenio con Enforex</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Consciente de que el aprendizaje de otras lenguas y el conocimiento de otras culturas son fundamentales para el futuro académico y profesional de los jóvenes de hoy, el CEU tiene como uno de los objetivos básicos de su Proyecto Educativo la internacionalización de todos sus alumnos. Para facilitarles la posibilidad de vivir diferentes experiencias de inmersión en otros países, el grupo educativo CEU ha firmado un convenio de colaboración con Enforex, que en coordinación con los Departamentos de CEU Languages de los Colegios ha planificado diferentes Programas de Inmersión Lingüística, según las edades y destrezas comunicativas de cada alumno. Se inician en España, para continuar en otros países: Reino Unido, Irlanda, Canadá, etc., con distintas opciones y duraciones de las estancias, siempre buscando la inmersión en otra cultura, facilitando la convivencia con otros chicos de la misma edad y compartiendo su vida escolar. Estas experiencias van más allá del enriquecimiento académico, se trata de aprender “viviendo” nuevas y diferentes formas de pensar, lo que aporta a los alumnos un gran progreso en valores personales y contribuye enormemente a hacerlos más autónomos.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Colegios CEU</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https://www.notasdeprensa.es/los-colegios-ceu-siguen-apostando-por-la_1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