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Libertex analiza la evolución histórica de las criptomonedas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surgimiento de los segmentos DeFi y NFT, un mercado prácticamente altcoin, podrían ser los proyectos que experimenten mayor crecimiento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hace algún tiempo, las criptomonedas eran una clase de activos de nicho de los que solo habían oído hablar los expertos en informática y algunos iniciados. Sin embargo, todo eso cambió en 2017 cuando estos instrumentos comenzaron a dominar los titulares, tras alcanzar ganancias sin precedentes en tan solo unos meses. De hecho, a finales de ese mismo año, Bitcoin había subido un 2000% para alcanzar un máximo diario de $19.650.</w:t>
            </w:r>
          </w:p>
          <w:p>
            <w:pPr>
              <w:ind w:left="-284" w:right="-427"/>
              <w:jc w:val="both"/>
              <w:rPr>
                <w:rFonts/>
                <w:color w:val="262626" w:themeColor="text1" w:themeTint="D9"/>
              </w:rPr>
            </w:pPr>
            <w:r>
              <w:t>Sin embargo, aún pasaron otros tres años antes de que las monedas digitales se convirtieran en un elemento habitual en la mayoría de las carteras institucionales.</w:t>
            </w:r>
          </w:p>
          <w:p>
            <w:pPr>
              <w:ind w:left="-284" w:right="-427"/>
              <w:jc w:val="both"/>
              <w:rPr>
                <w:rFonts/>
                <w:color w:val="262626" w:themeColor="text1" w:themeTint="D9"/>
              </w:rPr>
            </w:pPr>
            <w:r>
              <w:t>Los primeros días (2009-2012)Inmediatamente después del lanzamiento de la criptomoneda original en 2009, por parte de Satoshi, los precios rondaron el cero durante casi dos años. No fue hasta 2011 que BTC, alcanzó la paridad con el dólar estadounidense. Lo que siguió no fue diferente a lo visto durante el gran auge y caída de 2017. Los precios en Mt. Gox aumentaron de $1,00 a $30,00, antes de volver a caer a $5,00 a finales de 2011.</w:t>
            </w:r>
          </w:p>
          <w:p>
            <w:pPr>
              <w:ind w:left="-284" w:right="-427"/>
              <w:jc w:val="both"/>
              <w:rPr>
                <w:rFonts/>
                <w:color w:val="262626" w:themeColor="text1" w:themeTint="D9"/>
              </w:rPr>
            </w:pPr>
            <w:r>
              <w:t>A pesar de las ganancias porcentuales, que fueron tan impresionantes como las vistas en mercados alcistas recientes, todo este episodio pasó más o menos desapercibido en los medios. Más allá de los primeros aficionados a las criptomonedas y los delincuentes de la web oscura, casi nadie poseía BTC o sabía lo que era. De hecho, en 2010, el usuario de BitcoinTalk, SmokeTooMuch, intentó subastar 10000 BTC (actualmente con un valor de 350 millones de dólares), por solo 50 dólares... pero no pudo encontrar un comprador.</w:t>
            </w:r>
          </w:p>
          <w:p>
            <w:pPr>
              <w:ind w:left="-284" w:right="-427"/>
              <w:jc w:val="both"/>
              <w:rPr>
                <w:rFonts/>
                <w:color w:val="262626" w:themeColor="text1" w:themeTint="D9"/>
              </w:rPr>
            </w:pPr>
            <w:r>
              <w:t>El punto de inflexiónHace diez años, la única empresa de renombre que aceptaba Bitcoin era WordPress y usar BTC, legítimamente, era bastante difícil. Pero todo esto cambió a principios de 2013, cuando Internet Archive comenzó a aceptar donaciones de Bitcoin e, incluso, ofreció pagar parte de los salarios de sus empleados en la moneda digital.</w:t>
            </w:r>
          </w:p>
          <w:p>
            <w:pPr>
              <w:ind w:left="-284" w:right="-427"/>
              <w:jc w:val="both"/>
              <w:rPr>
                <w:rFonts/>
                <w:color w:val="262626" w:themeColor="text1" w:themeTint="D9"/>
              </w:rPr>
            </w:pPr>
            <w:r>
              <w:t>Poco tiempo después, OkCupid y Foodler comenzaron a permitir que los usuarios pagaran los servicios en BTC. A esto le siguió la apertura del primer cajero automático Bitcoin del mundo en Vancouver. Incluso, la Universidad de Nicosia, en Chipre, comenzó a permitir que los estudiantes pagaran sus tasas de matrícula en criptomoneda. Todo esto allanó el camino para que muchas más empresas agregaran Bitcoin a sus métodos de pago y se produjo la primera ola de inversionistas minoristas ordinarios, que ingresaron al mercado a un precio promedio de alrededor de $500.</w:t>
            </w:r>
          </w:p>
          <w:p>
            <w:pPr>
              <w:ind w:left="-284" w:right="-427"/>
              <w:jc w:val="both"/>
              <w:rPr>
                <w:rFonts/>
                <w:color w:val="262626" w:themeColor="text1" w:themeTint="D9"/>
              </w:rPr>
            </w:pPr>
            <w:r>
              <w:t>El gran auge de Bitcoin 1.0Bitcoin comenzó 2013 en alrededor de $13,00, pero en diciembre valía más de $1000. A pesar de las fluctuaciones y correcciones a corto plazo, todos los hodlers que ingresaron en ese momento han tenido retornos que les cambiaron la vida, en menos de una década.</w:t>
            </w:r>
          </w:p>
          <w:p>
            <w:pPr>
              <w:ind w:left="-284" w:right="-427"/>
              <w:jc w:val="both"/>
              <w:rPr>
                <w:rFonts/>
                <w:color w:val="262626" w:themeColor="text1" w:themeTint="D9"/>
              </w:rPr>
            </w:pPr>
            <w:r>
              <w:t>No obstante, no fue hasta 2017 que BTC realmente llegó al radar de los principales medios. Las ganancias fueron realmente espectaculares: Bitcoin pasó de un precio de alrededor de $900 en enero a un máximo de $19.650 el 15 de diciembre, duplicando su recuperación del 1000% de cuatro años antes. La diferencia clave esta vez fue que Bitcoin nunca volvió a caer a sus mínimos anteriores a 2017.</w:t>
            </w:r>
          </w:p>
          <w:p>
            <w:pPr>
              <w:ind w:left="-284" w:right="-427"/>
              <w:jc w:val="both"/>
              <w:rPr>
                <w:rFonts/>
                <w:color w:val="262626" w:themeColor="text1" w:themeTint="D9"/>
              </w:rPr>
            </w:pPr>
            <w:r>
              <w:t>Esta carrera alcista hizo que ingresaran un gran número de nuevos inversores minoristas. Si bien muchos tuvieron pérdidas significativas en 2018, aquellos que aguantaron obtuvieron importantes ganancias. Además, el rumor en torno a Bitcoin también ayudó a proyectos incipientes como Ethereum (2015) y Cardano (2017), a atraer nuevos usuarios y capital a medida, comenzando a tomar forma el llamado mercado de  and #39;altcoin and #39;.</w:t>
            </w:r>
          </w:p>
          <w:p>
            <w:pPr>
              <w:ind w:left="-284" w:right="-427"/>
              <w:jc w:val="both"/>
              <w:rPr>
                <w:rFonts/>
                <w:color w:val="262626" w:themeColor="text1" w:themeTint="D9"/>
              </w:rPr>
            </w:pPr>
            <w:r>
              <w:t>Un mundo de posibilidadesQuizás la faceta más interesante del auge criptográfico reciente fue el impulso, en gran medida, por la tan esperada llegada de instituciones e inversores heredados. De hecho, la asombrosa cifra de 9300 millones de dólares de capital institucional fluyó hacia los activos digitales en 2021, lo que supuso un aumento de casi el 36% frente a los 6800 millones de dólares de 2020 y prácticamente nada en 2017. La criptomoneda original ha asumido nuevos roles como reserva de valor en Turquía, afectada por la inflación y como un medio seguro de intercambio transfronterizo gratuito, en países devastados por la guerra en todo el mundo.</w:t>
            </w:r>
          </w:p>
          <w:p>
            <w:pPr>
              <w:ind w:left="-284" w:right="-427"/>
              <w:jc w:val="both"/>
              <w:rPr>
                <w:rFonts/>
                <w:color w:val="262626" w:themeColor="text1" w:themeTint="D9"/>
              </w:rPr>
            </w:pPr>
            <w:r>
              <w:t>Pero uno de los desarrollos más emocionantes desde 2020 es el surgimiento de los segmentos DeFi y NFT, que tienen CAGR respectivas del 47% y el 35%. Además, este mercado es prácticamente todo altcoin. Bitcoin apenas está presente; en cambio, son Ethereum, Cardano, Solana, Terra Luna y otras monedas las que gobiernan el espacio. Estos podrían ser los proyectos que experimenten el mayor crecimiento en el futuro y muchos inversores con visión ya los están acumulando, como los pioneros de Bitcoin Hodlers de principios de la década de 2010.</w:t>
            </w:r>
          </w:p>
          <w:p>
            <w:pPr>
              <w:ind w:left="-284" w:right="-427"/>
              <w:jc w:val="both"/>
              <w:rPr>
                <w:rFonts/>
                <w:color w:val="262626" w:themeColor="text1" w:themeTint="D9"/>
              </w:rPr>
            </w:pPr>
            <w:r>
              <w:t>Explorar los CFD criptográficos con LibertexPara muchos inversores tradicionales que desean agregar criptografía a sus carteras, las mayores barreras son la seguridad y la facilidad de acceso. El corredor de CFD Libertex ha incorporado, completamente, los CFD sobre activos digitales en su oferta de instrumentos estándar. Libertex ahora ofrece más de 50 CFD sobre monedas y tokens en su aplicación.</w:t>
            </w:r>
          </w:p>
          <w:p>
            <w:pPr>
              <w:ind w:left="-284" w:right="-427"/>
              <w:jc w:val="both"/>
              <w:rPr>
                <w:rFonts/>
                <w:color w:val="262626" w:themeColor="text1" w:themeTint="D9"/>
              </w:rPr>
            </w:pPr>
            <w:r>
              <w:t>Libertex ha convertido, recientemente, su oferta de criptomonedas sin comisión en un elemento permanente, lo que significa que los clientes de Libertex ya no pagan ninguna tarifa o cargo por las compras, ventas o intercambios de CFD de criptomonedas. Todo lo que hay que pagar es el diferencial (el punto medio entre los precios de oferta y demanda de un activo determinado).</w:t>
            </w:r>
          </w:p>
          <w:p>
            <w:pPr>
              <w:ind w:left="-284" w:right="-427"/>
              <w:jc w:val="both"/>
              <w:rPr>
                <w:rFonts/>
                <w:color w:val="262626" w:themeColor="text1" w:themeTint="D9"/>
              </w:rPr>
            </w:pPr>
            <w:r>
              <w:t>Para los hodlers a largo plazo, esto puede traducirse en ahorros masivos y tener un impacto significativo en el tamaño de los rendimientos potencialmente obtenidos. Las transacciones de cripto CFD de los clientes de Libertex se almacenan junto con sus otras operaciones e inversiones en la plataforma de negociación de Libertex y, por lo tanto, son accesibles en cualquier momento, de día o de noche.</w:t>
            </w:r>
          </w:p>
          <w:p>
            <w:pPr>
              <w:ind w:left="-284" w:right="-427"/>
              <w:jc w:val="both"/>
              <w:rPr>
                <w:rFonts/>
                <w:color w:val="262626" w:themeColor="text1" w:themeTint="D9"/>
              </w:rPr>
            </w:pPr>
            <w:r>
              <w:t>Advertencia de riesgo: los CFD son instrumentos complejos y conllevan un alto riesgo de perder dinero rápidamente, debido al apalancamiento. El 70,8% de las cuentas de inversores minoristas pierden dinero al operar con CFD con este proveedor. Se aplican márgenes ajustados. Por favor, consultar sus diferenciales en la plataforma. Se debe considerar si se comprende cómo funcionan los CFD y si puede permitirse asumir el alto riesgo de perder el dinero. Los instrumentos de criptomonedas no están disponibles para clientes minoristas en el Reino Unido.</w:t>
            </w:r>
          </w:p>
          <w:p>
            <w:pPr>
              <w:ind w:left="-284" w:right="-427"/>
              <w:jc w:val="both"/>
              <w:rPr>
                <w:rFonts/>
                <w:color w:val="262626" w:themeColor="text1" w:themeTint="D9"/>
              </w:rPr>
            </w:pPr>
            <w:r>
              <w:t>Disponible para clientes minoristas en Libertex Trading Platform.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Sheila Carbajal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915 191 005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https://www.notasdeprensa.es/libertex-analiza-la-evolucion-historica-de-las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