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25/01/2021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LEAN FINANCE lanza su primer fondo de inversión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del fondo es dar acceso a financiación a startups en fase seed y growth mediante inversión directa, préstamos y avales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ecosistema startup en España se encuentra en un momento crucial para afianzar el crecimiento que viene experimentando en los últimos años, a pesar de la situación de incertidumbre actual tras la pandemia del COVID-19. Bajo este prisma, muchas empresas viables o en perspectivas de serlo a corto plazo tendránlimitado el acceso a financiación, tanto bancaria como alternativa.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Fruto de esta limitación nace LF Smart Capital, con el propósito de apoyar financieramente a estas startups en crecimiento y darle solución a sus necesidades de liquidez.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de la Torre, fundador de la compañía, destaca la humildad del fondo: “se trata de un pequeño apoyo si lo comparamos con los datos de la industria. Nuestra idea es ayudar a completar ticket mediante financiación pública y privada, no liderar”.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de inversión es desembolsar en los próximos 5 años hasta 3M€ en startups en fase semilla y growth con tickets entre 30 y 100K€. El target de inversión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con CTO interno.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EBITDA negativo, pero con producto cerca de mercado y facturando.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Previsión de cash flow positivo en 12-24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Menos de 10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Ingresos previsionales crecientes.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Socios dedicados 100% al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métricas demostrables.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Lean Finance es una sociedad constituida en 2018 que nace con la misión convertirse en el aliado estratégico y financiero para Startups, ayudando a consolidar a estas empresas en sus respectivos mercados a través de recursos e instrumentos públicos (principalmente ENISA) o financiación privada y prestando apoyo en la parte financiera como directores financieros outsourcing.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LEAN FINANCE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634 596 731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https://www.notasdeprensa.es/lean-finance-lanza-su-primer-fondo-de-inversion_1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Andalucia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