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Ceuta y Melilla el 03/09/2020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empresas de Ceuta y Melilla reciben cada vez más facturas electrónicas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SERES: El volumen de empresas que reciben facturas electrónicas se sitúa en el 0,23%, dos décimas por encima de las cifras del año anterior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factura electrónica sigue siendo la gran ausente en la actividad económica de las empresas de Ceuta y Melilla, que, juntas, representan el 0,23% (0,08% y 0,15% respectivamente) de las empresas que emitieron facturas electrónicas en 2019, según el Estudio SERES de Implantación de la Factura Electrónica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volumen de empresas de las dos ciudades autónomas que recibieron facturas electrónicas fue también del 0,23% del total nacional (Ceuta un 0,13% y Melilla, un 0,10%).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cierto que etas cifras no son las más alentadoras, – explica Alberto Redondo, CMO de SERES para Iberia y LATAM- no obstante, están en concordancia con el porcentaje del tejido empresarial español que se encuentra en ambas ciudades autónomas”.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nacionalesSegún el Estudio, el número de facturas electrónicas procesadas en 2019 en nuestro país ascendió a 206.464.053 documentos, un 13,51% más que en 2018. Del total, 171.773.817 documentos -un 6,1% más que en 2018- corresponden a transacciones entre empresas (B2B), 22.292.891 a operaciones entre empresas y las administraciones públicas (B2G) y 12.397.345 a ventas de empresas a particulares (B2C).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uso de la factura electrónica, en 2019 se ahorraron más de 1.600 millones de euros en la gestión de facturas emitidas y recibidas, y el equivalente en horas de trabajo de más de 442 años laborales. Además, se generó un impacto medioambiental positivo cercano a la superficie forestal del Parque del Retiro al eliminar el papel de facturas, sobres, etc. Según el estudio, el coste medio de recepción de una factura es de 7,22€ en papel y 2,27€ en digital y en emisión de 4,45€ en papel y 1,64€ en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Comunidades Autónomas más activas en emisión de Factura ElectrónicaPor Comunidades Autónomas, las empresas de Madrid (36,69%), Cataluña (28,93%), Andalucía (9,17%) y Valencia (4,94%) lideran el ranking en volumen de emisión, con notables cambios respecto al año pasado, ya que Cataluña aumenta su cuota en un 17,77%, mientras que Andalucía y Valencia la reducen en un 0,67% y un 3,2% respectivamente.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SERES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https://www.notasdeprensa.es/las-empresas-de-ceuta-y-melilla-reciben-cada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Ceuta y Melilla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