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ampliaciones de capital cayeron un 58,05% en el primer cuatrimestre debido al descenso del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Desparecido el efecto del rescate bancario, el importe registrado en operaciones de ampliación de capital está cayendo en picado en España. Entre enero y abril se registraron 21.968 millones de euros, un ajuste del 58,05%, comparado con el mismo periodo de 2013, según los datos recopilados por el Gabinete de Estudios Económicos de Axesor, primera agencia de rating española. Las dos comunidades decisivas para explicar esta evolució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Desparecido el efecto del rescate bancario, el importe registrado en operaciones de ampliación de capital está cayendo en picado en España. Entre enero y abril se registraron 21.968 millones de euros, un ajuste del 58,05%, comparado con el mismo periodo de 2013, según los datos recopilados por el Gabinete de Estudios Económicos de Axesor, primera agencia de rating española. Las dos comunidades decisivas para explicar esta evolución son Valencia (-94,2%) y Madrid (-51,4%). En abril, el importe registrado en operaciones de ampliación de capital cayó un 64% (se situó en 1.242,8 millones de euros) y básicamente se debió a la comunidad valenciana, donde el importe efectuado en este tipo de operaciones pasó de 10.666,9 millones de euros en abril de 2013 a 618,9 millones en este año. </w:t>
            </w:r>
          </w:p>
          <w:p>
            <w:pPr>
              <w:ind w:left="-284" w:right="-427"/>
              <w:jc w:val="both"/>
              <w:rPr>
                <w:rFonts/>
                <w:color w:val="262626" w:themeColor="text1" w:themeTint="D9"/>
              </w:rPr>
            </w:pPr>
            <w:r>
              <w:t>Si se excluye al sector financiero, el balance acumulado por la economía española es de 9.960,11 millones de euros, un descenso del 39,1% respecto al periodo comprendido entre enero y abril de 2013. Esta cifra supone el registro más bajo en 10 años para este periodo de tiempo. Desde Axesor se apunta, sin embargo, que aún es demasiado pronto considerar estos datos como el indicio de una recuperación sostenida del flujo de crédito bancario.</w:t>
            </w:r>
          </w:p>
          <w:p>
            <w:pPr>
              <w:ind w:left="-284" w:right="-427"/>
              <w:jc w:val="both"/>
              <w:rPr>
                <w:rFonts/>
                <w:color w:val="262626" w:themeColor="text1" w:themeTint="D9"/>
              </w:rPr>
            </w:pPr>
            <w:r>
              <w:t>La caída del importe registrado en ampliaciones de capital fue generalizada en toda España en el primer cuatrimestre del año. La excepción fue la comunidad autónoma de Castilla León (+22,86%). Por sectores, se registraron aumentos en los importes de actividades sanitarias y de servicios (+57,75, pasando de 81,4 a 128,4 millones de euros); en actividades administrativas (+15,78%, pasando de 239,33 a 277,11, millones de euros), y en suministro de agua y saneamiento (+2%, pasando de 58,2 a 59,4 millones de euros. Sin embargo, los principales sectores registraron unos cuantiosos descensos. Fue lo que ocurrió con las actividades financieras y seguros (-66,64%; pasando de 36.000,3 a 12.008,8 millones de euros); construcción (-31,37%, cayendo de 3.141,8 a 2.156,11 millones de euros) y actividades inmobiliarias (-39,9%; de 3.985,68 a 2.392,03 millones de euros).</w:t>
            </w:r>
          </w:p>
          <w:p>
            <w:pPr>
              <w:ind w:left="-284" w:right="-427"/>
              <w:jc w:val="both"/>
              <w:rPr>
                <w:rFonts/>
                <w:color w:val="262626" w:themeColor="text1" w:themeTint="D9"/>
              </w:rPr>
            </w:pPr>
            <w:r>
              <w:t>“Es pronto para adelantar una recuperación sostenida del flujo de crédito, si bien algunos segmentosdel mercado han ofrecido una notable mejoría. Por ejemplo, en febrero el crédito al consumo y el crédito para nuevas operaciones de hasta un millón de euros, crecieron. No hay duda de que la recuperación sería más rápida y más sólida si volviese a fluir con normalidadel crédito hacia aquellas empresas y proyectos viables, y ello reduciría la necesidad de las compañías de ampliar capital”, explica el responsable del Gabinete de Estudios Económicos de Axesor, Javier Ramos Juste.</w:t>
            </w:r>
          </w:p>
          <w:p>
            <w:pPr>
              <w:ind w:left="-284" w:right="-427"/>
              <w:jc w:val="both"/>
              <w:rPr>
                <w:rFonts/>
                <w:color w:val="262626" w:themeColor="text1" w:themeTint="D9"/>
              </w:rPr>
            </w:pPr>
            <w:r>
              <w:t>El número de operaciones también ha descendido significativamente. El saldo acumulado en los primeros cuatro meses del año es de 13.303 operaciones registradas, una caída del 8,1% en tasa interanual.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https://www.notasdeprensa.es/las-ampliaciones-de-capital-cayeron-un-5805-en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