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presencia de empresas españolas en paraísos fiscales se dispara en los peores años de la crisis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próximo jueves 5 de marzo, Oxfam Intermón hace público en rueda de prensa el informe “La ilusión fiscal”, en el que analiza el comportamiento fiscal de las empresas del IBEX35 y aporta datos de su experiencia sobre fiscalidad en los países en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informe, basado en una investigación de dos años, pone de manifiesto la ingeniería fiscal al alcance de las grandes empresas a nivel mundial para reducir al mínimo los impuestos que pagan aprovechándose de los límites de la ley.  Estas prácticas restan recursos a las arcas públicas, con un impacto severo sobre las personas más vulnerables en términos de recortes sociales y pérdida de oportunidades.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últimos años Oxfam Intermón ha realizado una serie de informes denunciando los efectos que el incremento de la desigualdad económica tiene sobre las personas y los sistemas democráticos, tanto en España como en los países en desarrollo. El documento que se presenta el día 5, contribuye a este debate y pone sobre la mesa datos reveladores sobre las consecuencias de una baja tributación de las grandes empresas.	_____________________________________________________________________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QUÉ: Presentación del informe: “La ilusión fiscal”	CUÁNDO: Jueves 5 de marzo de 2015 a las 10.30 am.	DÓNDE: C/ Alberto Aguilera, 15. 28015 Madrid. Sede de Oxfam Intermón.	QUIÉN: Jaime Atienza (director del departamento de Campañas y Ciudadanía de Oxfam Intermón) y Susana Ruíz (responsable de Justicia Fiscal de Oxfam Intermón).	__________________________________________________________________________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https://www.notasdeprensa.es/la-presencia-de-empresas-espanolas-en-paraisos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Eventos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