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pobreza infantil sube de nuevo y afecta ya a más del 35% de los menores de 16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35,4 por ciento de los menores de 16 años que residen en España se encuentran en riesgo de pobreza o exclusión, una tasa que se incrementó un 3,5 por ciento en 2014 y que lleva tres años al alza, según la Encuesta de Condiciones de Vida del Instituto Nacional de Estadística (INE) difundida este martes, informa Europa Press.</w:t>
            </w:r>
          </w:p>
          <w:p>
            <w:pPr>
              <w:ind w:left="-284" w:right="-427"/>
              <w:jc w:val="both"/>
              <w:rPr>
                <w:rFonts/>
                <w:color w:val="262626" w:themeColor="text1" w:themeTint="D9"/>
              </w:rPr>
            </w:pPr>
            <w:r>
              <w:t>	Los datos se ofrecen según el indicador europeo AROPE, que combina pobreza (ingresos por debajo del 60% de la mediana nacional), carencia material y baja intensidad en el empleo para mostrar cuántos ciudadanos se encuentran en riesgo de pobreza o exclusión.</w:t>
            </w:r>
          </w:p>
          <w:p>
            <w:pPr>
              <w:ind w:left="-284" w:right="-427"/>
              <w:jc w:val="both"/>
              <w:rPr>
                <w:rFonts/>
                <w:color w:val="262626" w:themeColor="text1" w:themeTint="D9"/>
              </w:rPr>
            </w:pPr>
            <w:r>
              <w:t>	Con este baremo, el 29,2 por ciento de la población de España está en situación de riesgo, un 1,9 por ciento más que en 2013 y un 3,1 por ciento más que en el año 2010. El 22,2 por ciento se encuentra en riesgo de pobreza por bajos ingresos (un 1,7% más), el 7,1% afronta carencias materiales severas (un 1,1% más) y el 17,1% presenta baja intensidad en el empleo (1,4% más).</w:t>
            </w:r>
          </w:p>
          <w:p>
            <w:pPr>
              <w:ind w:left="-284" w:right="-427"/>
              <w:jc w:val="both"/>
              <w:rPr>
                <w:rFonts/>
                <w:color w:val="262626" w:themeColor="text1" w:themeTint="D9"/>
              </w:rPr>
            </w:pPr>
            <w:r>
              <w:t>	El riesgo de pobreza y/o exclusión afecta en mayor medida a la población infantil. El 35,4 por ciento de los menores de 16 años que viven en España están en el indicador AROPE al cierre de 2014, frente al 31,9 por ciento que representaban en 2013, al 31,4% de 2012 o al 31,6% que suponían en 2011 (siempre calculado con los ingresos del año precedente).</w:t>
            </w:r>
          </w:p>
          <w:p>
            <w:pPr>
              <w:ind w:left="-284" w:right="-427"/>
              <w:jc w:val="both"/>
              <w:rPr>
                <w:rFonts/>
                <w:color w:val="262626" w:themeColor="text1" w:themeTint="D9"/>
              </w:rPr>
            </w:pPr>
            <w:r>
              <w:t>	En cuanto a la población entre 16 y 64 años, el 32% se encuentran en riesgo de pobreza o exclusión, cifra que cae hasta el 12,9 por ciento entre los mayores de 64. Este colectivo es el único en el que disminuye la población en riesgo, pasando del 22,9 por ciento en 2010 a la cifra actual.</w:t>
            </w:r>
          </w:p>
          <w:p>
            <w:pPr>
              <w:ind w:left="-284" w:right="-427"/>
              <w:jc w:val="both"/>
              <w:rPr>
                <w:rFonts/>
                <w:color w:val="262626" w:themeColor="text1" w:themeTint="D9"/>
              </w:rPr>
            </w:pPr>
            <w:r>
              <w:t>	Atendiendo exclusivamente a la pobreza, uno de los tres indicadores que se bareman en el índice AROPE, el INE señala que el ingreso medio por hogar se situó el año pasado en 26.154 euros tras caer un 2,3 por ciento. El umbral a partir del cual se considera riesgo de pobreza, que se fija en el 60% de esta cantidad, cayó en consecuencia y se situó en 7.961 euros al año para un hogar de una persona (un 1,9% menos) y en 16.719 euros anuales para hogares con dos adultos y dos niños.</w:t>
            </w:r>
          </w:p>
          <w:p>
            <w:pPr>
              <w:ind w:left="-284" w:right="-427"/>
              <w:jc w:val="both"/>
              <w:rPr>
                <w:rFonts/>
                <w:color w:val="262626" w:themeColor="text1" w:themeTint="D9"/>
              </w:rPr>
            </w:pPr>
            <w:r>
              <w:t>	El INE revela que el 22,2 por ciento del total de la población, un 1,8% más que en 2013, gana menos de estas cantidades, es decir, está bajo el umbral de riesgo de pobreza. El aumento ha sido mayor entre los menores de 16 años: sube un 3,4% y alcanza ya al 30,1% del total, es decir, que la pobreza infantil está 7,9 puntos por encima de la que registra el conjunto de la población.</w:t>
            </w:r>
          </w:p>
          <w:p>
            <w:pPr>
              <w:ind w:left="-284" w:right="-427"/>
              <w:jc w:val="both"/>
              <w:rPr>
                <w:rFonts/>
                <w:color w:val="262626" w:themeColor="text1" w:themeTint="D9"/>
              </w:rPr>
            </w:pPr>
            <w:r>
              <w:t>	Entre los habitantes de 16 a 64 años de edad, esta tasa se sitúa en el 23,2 por ciento tras subir 2,4 puntos en el último año. Mientras, entre los mayores de 65 años cae un 1,3% y se sitúa en el 11,4% del total.</w:t>
            </w:r>
          </w:p>
          <w:p>
            <w:pPr>
              <w:ind w:left="-284" w:right="-427"/>
              <w:jc w:val="both"/>
              <w:rPr>
                <w:rFonts/>
                <w:color w:val="262626" w:themeColor="text1" w:themeTint="D9"/>
              </w:rPr>
            </w:pPr>
            <w:r>
              <w:t>	Si en el cálculo de riesgo de pobreza se tiene en cuenta el valor del alquiler imputado, la tasa general se sitúa en el 19,9 por ciento, para los mayores de 65 años se queda en el 5,9% y entre los menores de 16 años alcanza al 29,6% del total.</w:t>
            </w:r>
          </w:p>
          <w:p>
            <w:pPr>
              <w:ind w:left="-284" w:right="-427"/>
              <w:jc w:val="both"/>
              <w:rPr>
                <w:rFonts/>
                <w:color w:val="262626" w:themeColor="text1" w:themeTint="D9"/>
              </w:rPr>
            </w:pPr>
            <w:r>
              <w:t>	MÁS NIÑOS, MÁS POBREZA</w:t>
            </w:r>
          </w:p>
          <w:p>
            <w:pPr>
              <w:ind w:left="-284" w:right="-427"/>
              <w:jc w:val="both"/>
              <w:rPr>
                <w:rFonts/>
                <w:color w:val="262626" w:themeColor="text1" w:themeTint="D9"/>
              </w:rPr>
            </w:pPr>
            <w:r>
              <w:t>	Por tipo de hogar, el INE revela que el 42% de las personas que viven en hogares monoparentales con niños (un adulto con hijos dependientes a cargo) estaban en riesgo de pobreza. Por contra, en las casas donde viven dos adultos sin hijos que dependan de ellos la tasa no llega al 15 por ciento.</w:t>
            </w:r>
          </w:p>
          <w:p>
            <w:pPr>
              <w:ind w:left="-284" w:right="-427"/>
              <w:jc w:val="both"/>
              <w:rPr>
                <w:rFonts/>
                <w:color w:val="262626" w:themeColor="text1" w:themeTint="D9"/>
              </w:rPr>
            </w:pPr>
            <w:r>
              <w:t>	Según la nacionalidad, el porcentaje de personas por debajo del umbral de riesgo de pobreza es del 18,4% para los españoles, del 35,7% para los extranjeros de la Unión Europea (UE) y del 55,4% para las personas de otros países.</w:t>
            </w:r>
          </w:p>
          <w:p>
            <w:pPr>
              <w:ind w:left="-284" w:right="-427"/>
              <w:jc w:val="both"/>
              <w:rPr>
                <w:rFonts/>
                <w:color w:val="262626" w:themeColor="text1" w:themeTint="D9"/>
              </w:rPr>
            </w:pPr>
            <w:r>
              <w:t>	Apunta además, que el 45,1% de los parados están en riesgo de pobreza, mientras entre los jubilados la tasa es del 9%, y destaca que los índices son mayores entre las personas que tienen menor preparación: el 29,1% de quienes se quedaron en la primera etapa de secundaria está en riesgo de pobreza frente al 10,2% que se registra entre quienes cursaron estudios superiores.</w:t>
            </w:r>
          </w:p>
          <w:p>
            <w:pPr>
              <w:ind w:left="-284" w:right="-427"/>
              <w:jc w:val="both"/>
              <w:rPr>
                <w:rFonts/>
                <w:color w:val="262626" w:themeColor="text1" w:themeTint="D9"/>
              </w:rPr>
            </w:pPr>
            <w:r>
              <w:t>	EL 45% NO PUEDE AFRONTAR UN IMPREVISTO</w:t>
            </w:r>
          </w:p>
          <w:p>
            <w:pPr>
              <w:ind w:left="-284" w:right="-427"/>
              <w:jc w:val="both"/>
              <w:rPr>
                <w:rFonts/>
                <w:color w:val="262626" w:themeColor="text1" w:themeTint="D9"/>
              </w:rPr>
            </w:pPr>
            <w:r>
              <w:t>	En cuanto a las carencias, el INE indica que cuando realizó la encuesta, en primavera de 2014, el 16,1% de los hogares españoles llegaba a fin de mes “con mucha dificultad”, un 0,8% que en el mismo sondeo de un año antes. Asimismo, el 45% no se podía permitir salir de vacaciones fuera de casa al menos una semana al año, también un 0,8% menos que en 2013.</w:t>
            </w:r>
          </w:p>
          <w:p>
            <w:pPr>
              <w:ind w:left="-284" w:right="-427"/>
              <w:jc w:val="both"/>
              <w:rPr>
                <w:rFonts/>
                <w:color w:val="262626" w:themeColor="text1" w:themeTint="D9"/>
              </w:rPr>
            </w:pPr>
            <w:r>
              <w:t>	No obstante, el 42,4% no tenía capacidad para afrontar gastos imprevistos, un 1,4% más que el año anterior; y el 10,2 por ciento de los hogares tenía retrasos en los pagos de los recibos, como de alquiler, luz o agua, un 0,9 por ciento más que en 2013.</w:t>
            </w:r>
          </w:p>
          <w:p>
            <w:pPr>
              <w:ind w:left="-284" w:right="-427"/>
              <w:jc w:val="both"/>
              <w:rPr>
                <w:rFonts/>
                <w:color w:val="262626" w:themeColor="text1" w:themeTint="D9"/>
              </w:rPr>
            </w:pPr>
            <w:r>
              <w:t>	DESIGUALDAD ENTRE COMUNIDADES</w:t>
            </w:r>
          </w:p>
          <w:p>
            <w:pPr>
              <w:ind w:left="-284" w:right="-427"/>
              <w:jc w:val="both"/>
              <w:rPr>
                <w:rFonts/>
                <w:color w:val="262626" w:themeColor="text1" w:themeTint="D9"/>
              </w:rPr>
            </w:pPr>
            <w:r>
              <w:t>	Siguiendo las tasas de riesgo de pobreza, las más elevadas en la Encuesta de Condiciones de Vida de 2014 se dieron en Murcia (37,2%), Andalucía (33,3%) y Extremadura (33,1%). Por su parte, País Vasco (10,2%), Comunidad Foral de Navarra (11,9%) y Comunidad deMadrid (14,7%) presentaron las más bajas.</w:t>
            </w:r>
          </w:p>
          <w:p>
            <w:pPr>
              <w:ind w:left="-284" w:right="-427"/>
              <w:jc w:val="both"/>
              <w:rPr>
                <w:rFonts/>
                <w:color w:val="262626" w:themeColor="text1" w:themeTint="D9"/>
              </w:rPr>
            </w:pPr>
            <w:r>
              <w:t>	En cuanto a las carencias materiales, Andalucía (24,3%), Murcia (22,7%) y Galicia (20,8%) tuvieron los mayores porcentajes de hogares que llegaban a fin de mes con “mucha dificultad” frente a Navarra (4,2%), Principado de Asturias (4,6%) y Aragón (9,8%), en el lado opuesto.</w:t>
            </w:r>
          </w:p>
          <w:p>
            <w:pPr>
              <w:ind w:left="-284" w:right="-427"/>
              <w:jc w:val="both"/>
              <w:rPr>
                <w:rFonts/>
                <w:color w:val="262626" w:themeColor="text1" w:themeTint="D9"/>
              </w:rPr>
            </w:pPr>
            <w:r>
              <w:t>	En el 68% de los hogares de Canarias, el 58,3% en Andalucía y el 55,6% de Murcia no tenían capacidad para afrontar gastos imprevistos; y las mayores tasas de hogares con retrasos en los pagos relacionados con la vivienda se registraron en Baleares (18,1%), Canarias (16,0%) y Comunidad Valenciana (15,5%).</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https://www.notasdeprensa.es/la-pobreza-infantil-sube-de-nuevo-y-afecta-ya_1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