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factura electrónica crece en el sector de la automoción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factura electrónica sigue creciendo con fuerza en sector de automoción según el Estudio SERES de Implantación de la Factura Electrónica en España 2019. De acuerdo con este informe, el 5,88% de las empresas emisoras de factura electrónica y el 7,22% de las receptoras pertenecen al sector de automoción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número de facturas electrónicas emitidas, el 4,95% del total nacional corresponden a este sector. Por su parte, el porcentaje de las recibidas se sitúa en el 4,44%. Según Alberto Redondo, director de Marketing de SERES para Iberia y LATAM “se trata de un sector de referencia para la factura electrónica. Fue pionero en el uso del Intercambio Electrónico de Documentos (EDI) y se apresuró a adoptar la factura electrónica, lo que justifica estos datos. La automoción es una de las actividades industriales más tecnificadas, con cadenas de suministro muy complejas, y la factura electrónica es una herramienta clave que mejora aún más su desempeño”.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nacionalesSegún el Estudio, el número de facturas electrónicas procesadas en 2019 en nuestro país ascendió a 206.464.053 documentos, un 13,51% más que en 2018. Del total, 171.773.817 documentos -un 6,1% más que en 2018- corresponden a transacciones entre empresas (B2B), 22.292.891 a operaciones entre empresas y las administraciones públicas (B2G) y 12.397.345 a ventas de empresas a particulares (B2C).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uso de la factura electrónica, en 2019 se ahorraron más de 1.600 millones de euros en la gestión de facturas emitidas y recibidas, y el equivalente en horas de trabajo de más de 442 años laborales. Además, se generó un impacto medioambiental positivo cercano a la superficie forestal del Parque del Retiro al eliminar el papel de facturas, sobres, etc. Según el estudio, el coste medio de recepción de una factura es de 7,22€ en papel y 2,27€ en digital y en emisión de 4,45€ en papel y 1,64€ en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sector de actividadPor actividad, el Sector servicios es donde la factura electrónica tiene un mayor grado de implantación, tanto en emisión (64,06%) como en recepción (61,80%), con un aumento del 8,14% y el 3,35% respectivamente respecto a 2018. Le sigue Industria, con un 27,81% de empresas emisoras y un 28,07% de receptoras, pero con una reducción del 13,99% y del 8,61% respectivamente sobre 2018. Por su parte, en el Sector primario, la implantación de la factura electrónica es del 3,66% en emisión y un 3,64% en recepción, con una variación positiva en torno al medio punto en ambos casos.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SERES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https://www.notasdeprensa.es/la-factura-electronica-crece-en-el-sector-de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Automovilismo E-Commerce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