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Sanidad y Políticas Sociales extremeña celebra los 200 trasplantes hepáticos realizados en diciembre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Infanta Cristina logró el pasado mes de diciembre un hito que debe ser valorado y así ha sido durante el balance de la actividad del área de salud realizada en Badajoz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Infanta Cristina logró en el mes de diciembre el trasplante hepático número 200, un "hito que debemos poner en valor", ha dicho José María Vergeles, consejero de Sanidad y Políticas Sociales, en la presentación a los medios del balance de actividad del Área de Salud de Badajoz, donde la actividad quirúrgica aumentó un 9,5% en 2016 respecto a 2015.</w:t>
            </w:r>
          </w:p>
          <w:p>
            <w:pPr>
              <w:ind w:left="-284" w:right="-427"/>
              <w:jc w:val="both"/>
              <w:rPr>
                <w:rFonts/>
                <w:color w:val="262626" w:themeColor="text1" w:themeTint="D9"/>
              </w:rPr>
            </w:pPr>
            <w:r>
              <w:t>Vergeles, acompañado por Dámaso Villa, gerente del área, y Gerardo Blanco, jefe de servicio de Hepatología Biliar, han comparecido hoy en rueda de prensa para hacer una memoria de la actividad del Complejo Hospitalario Universitario de Badajoz y el área de salud que abarca.</w:t>
            </w:r>
          </w:p>
          <w:p>
            <w:pPr>
              <w:ind w:left="-284" w:right="-427"/>
              <w:jc w:val="both"/>
              <w:rPr>
                <w:rFonts/>
                <w:color w:val="262626" w:themeColor="text1" w:themeTint="D9"/>
              </w:rPr>
            </w:pPr>
            <w:r>
              <w:t>Al mismo tiempo, se ha referido a las actuaciones en 2017, como son la puesta en marcha de la Unidad de Teleictus, la reapertura este mes del Banco de Tumores "que el anterior gobierno cerró" o la terminación de las obras de ampliación de la Unidad de Oncohematoligía Pediátrica en el último semestre de este año.</w:t>
            </w:r>
          </w:p>
          <w:p>
            <w:pPr>
              <w:ind w:left="-284" w:right="-427"/>
              <w:jc w:val="both"/>
              <w:rPr>
                <w:rFonts/>
                <w:color w:val="262626" w:themeColor="text1" w:themeTint="D9"/>
              </w:rPr>
            </w:pPr>
            <w:r>
              <w:t>El consejero ha manifestado que "estamos de celebración" por haber alcanzado el trasplante de hígado número 200 desde la creación de este programa en 2007. En estos años se ha ido reduciendo tanto la espera para este tipo de trasplantes, pasando del año en 2005 a los 90 días actuales, ha informado Blanco, que ha indicado que la media de pacientes en espera en Extremadura se sitúa entre 10 y 12.</w:t>
            </w:r>
          </w:p>
          <w:p>
            <w:pPr>
              <w:ind w:left="-284" w:right="-427"/>
              <w:jc w:val="both"/>
              <w:rPr>
                <w:rFonts/>
                <w:color w:val="262626" w:themeColor="text1" w:themeTint="D9"/>
              </w:rPr>
            </w:pPr>
            <w:r>
              <w:t>Menor espera de los pacientes, menor tiempo medio de estancia y mayor calidad asistencial son las conclusiones de los datos de actividad asistencial en 2016. El crecimiento de la actividad se ha manifestado en todos los servicios. En las urgencias hospitalarias se atendieron una media de 414 diarias, un 32,4% anual más que en 2015.</w:t>
            </w:r>
          </w:p>
          <w:p>
            <w:pPr>
              <w:ind w:left="-284" w:right="-427"/>
              <w:jc w:val="both"/>
              <w:rPr>
                <w:rFonts/>
                <w:color w:val="262626" w:themeColor="text1" w:themeTint="D9"/>
              </w:rPr>
            </w:pPr>
            <w:r>
              <w:t>En atención primaria de salud se han atendido 1.417.452 consultas y ha destacado que el incremento se debe también a la reapertura de los Pac’s de Zahíos y Valverde de Leganés, "lo que justifica su reapertura".</w:t>
            </w:r>
          </w:p>
          <w:p>
            <w:pPr>
              <w:ind w:left="-284" w:right="-427"/>
              <w:jc w:val="both"/>
              <w:rPr>
                <w:rFonts/>
                <w:color w:val="262626" w:themeColor="text1" w:themeTint="D9"/>
              </w:rPr>
            </w:pPr>
            <w:r>
              <w:t>Ministra de Sanidad</w:t>
            </w:r>
          </w:p>
          <w:p>
            <w:pPr>
              <w:ind w:left="-284" w:right="-427"/>
              <w:jc w:val="both"/>
              <w:rPr>
                <w:rFonts/>
                <w:color w:val="262626" w:themeColor="text1" w:themeTint="D9"/>
              </w:rPr>
            </w:pPr>
            <w:r>
              <w:t>A preguntas de los periodistas sobre las declaraciones "contradictorias" de Dolors Monserrat, ministra de Sanidad, Servicios Sociales e Igualdad de España, sobre el copago farmacéutico, el consejero ha dicho que empieza a ser una ministra "poco creíble" y que "no vamos a permitir que se toque el bolsillo de los pensionistas".</w:t>
            </w:r>
          </w:p>
          <w:p>
            <w:pPr>
              <w:ind w:left="-284" w:right="-427"/>
              <w:jc w:val="both"/>
              <w:rPr>
                <w:rFonts/>
                <w:color w:val="262626" w:themeColor="text1" w:themeTint="D9"/>
              </w:rPr>
            </w:pPr>
            <w:r>
              <w:t>Ha recordado que el partido que sustenta al gobierno de España no tiene mayoría en las Cortes como para modificar la ley que autorizó el copago farmacéutico con su anterior mayoría absoluta.</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https://www.notasdeprensa.es/la-consejeria-de-sanidad-y-politicas-sociales_1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