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Valenciana en el Top 5 del uso de la factura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Valenciana se encuentra en los puestos de cabeza en el uso de la Factura electrónica en España, según el Estudio SERES de Implantación de la Factura Electrónica en España 2019. Según el informe, las empresas valencianas son las segundas más activas -tras Madrid- en emisión de facturas, con el 11,48% y las quintas en recepción, con el 8,19%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comunidad, Valencia fue la provincia que emitió más facturas, el 3,43% del total nacional, seguida de Alicante, con el 1% y Castellón, con el 0,5%. En recepción, Valencia recibió el 2,89% de las facturas del total nacional seguida de Alicante, con el 2,13% y Castellón, con el 0,79. %. El estudio refleja una importante variación porcentual a la baja de 3,2% en la emisión de facturas de la Comunidad Valenciana respecto a 2018, si bien el porcentaje se mantiene prácticamente igual en recepción.</w:t>
            </w:r>
          </w:p>
          <w:p>
            <w:pPr>
              <w:ind w:left="-284" w:right="-427"/>
              <w:jc w:val="both"/>
              <w:rPr>
                <w:rFonts/>
                <w:color w:val="262626" w:themeColor="text1" w:themeTint="D9"/>
              </w:rPr>
            </w:pPr>
            <w:r>
              <w:t>Las empresas valencianas muy activasDe acuerdo con el estudio, en el capítulo de empresas emisoras, las de Valencia representan el 6,47%, las de Castellón el 3,55% y las de Alicante, el 1,46%. En recepción, las empresas de Valencia registran el 4,66% del total, las de Castellón el 1,81% y las de Alicante el 1,73%.</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https://www.notasdeprensa.es/la-comunidad-valenciana-en-el-top-5-del-uso-de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