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Campo, nuevo presidente de Grupo Cortefiel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Junta General de Accionistas de Grupo Cortefiel ha ratificado el nombramiento de Francisco Javier Campo como nuevo Consejero independiente y Presidente no ejecutivo del grupo español de distribución de 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Ingeniero Industrial por la Universidad Politécnica de Madrid, Javier Campo empezó su andadura laboral en 1980 en Arthur Andersen. Más tarde, en 1986 se incorporó a Día, dónde durante 24 años ha ocupado el cargo de presidente mundial del Grupo Día Internacional y ha sido, asimismo, miembro del Comité Ejecutivo Mundial del Grupo Carrefour durante 15 años. En la actualidad, es presidente del grupo Zena, empresa líder de la restauración multimarca en España. Es también Presidente de AECOC (La Asociación de Empresas de Gran Consumo) con más de 25.000 empresas asociadas, que tienen más de 2 millones de empleados, Consejero de Bankia y miembro de su Comisión Delegada de Riesgos, Consejero de Meliá Hotels International, y miembro de los Consejos Asesores de AT Kearney y del Grupo de Alimentación Palacios. Es asimismo, Patrono del Real Forum de Alta Dirección y de la Fundación Carlos III.</w:t>
            </w:r>
          </w:p>
          <w:p>
            <w:pPr>
              <w:ind w:left="-284" w:right="-427"/>
              <w:jc w:val="both"/>
              <w:rPr>
                <w:rFonts/>
                <w:color w:val="262626" w:themeColor="text1" w:themeTint="D9"/>
              </w:rPr>
            </w:pPr>
            <w:r>
              <w:t>	El Consejo de Administración de Grupo Cortefiel está convencido de que la experiencia del nuevo presidente en internacionalización y su conocimiento del sector por las distintas responsabilidades que ha ocupado y ocupa, serán activos fundamentales para apoyar la consolidación de las fuertes inversiones internacionales realizadas por la compañía.</w:t>
            </w:r>
          </w:p>
          <w:p>
            <w:pPr>
              <w:ind w:left="-284" w:right="-427"/>
              <w:jc w:val="both"/>
              <w:rPr>
                <w:rFonts/>
                <w:color w:val="262626" w:themeColor="text1" w:themeTint="D9"/>
              </w:rPr>
            </w:pPr>
            <w:r>
              <w:t>	Tras la compra e integración de las 69 tiendas del grupo en Rusia, el desembarco con gestión propia en Méjico y el inicio de la joint venture en China, el Grupo está ya presente en 70 países con cerca de 2.000 tiendas de las que 1.500 son de gestión directa y el resto acuerdos de franquicia. Este fuerte desarrollo ha contado con el respaldo de los bancos y entidades financieras que, con un 98% de aceptación, han aprobado la refinanciación propuesta en 2014. El nuevo nombramiento cuenta pues con el apoyo de accionistas, ejecutivos y financiadores para esta nueva etapa.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Cortefiel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https://www.notasdeprensa.es/javier-campo-nuevo-presidente-de-grupo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Nombramientos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