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InfraBIM Open 2024 pone los estándares abiertos en el centro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500 asistentes sumó a finales del pasado mes de enero el evento especializado en las ventajas de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BIM y, con ella, el uso de estándares abiertos, se pusieron en el centro en el evento InfraBIM 2024, celebrado a finales del pasado enero en el Palais de la Bourse de la localidad francesa de Lyon.</w:t>
            </w:r>
          </w:p>
          <w:p>
            <w:pPr>
              <w:ind w:left="-284" w:right="-427"/>
              <w:jc w:val="both"/>
              <w:rPr>
                <w:rFonts/>
                <w:color w:val="262626" w:themeColor="text1" w:themeTint="D9"/>
              </w:rPr>
            </w:pPr>
            <w:r>
              <w:t>Unos 500 asistentes, entre los que acudieron físicamente y los que lo hicieron de manera virtual, participaron de esta cita entre los días 29 y 31. Un total de 51 conferencias, entre ellas 9 ‘presentaciones Platinum’, de ponentes internacionales -procedentes de 35 países- albergó en su sexta edición este encuentro dedicado al OpenBIM y al aprendizaje y el conocimiento de su aplicación en las infraestructuras del sector AECO (Arquitectura, Ingeniería, Construcción, Operaciones).</w:t>
            </w:r>
          </w:p>
          <w:p>
            <w:pPr>
              <w:ind w:left="-284" w:right="-427"/>
              <w:jc w:val="both"/>
              <w:rPr>
                <w:rFonts/>
                <w:color w:val="262626" w:themeColor="text1" w:themeTint="D9"/>
              </w:rPr>
            </w:pPr>
            <w:r>
              <w:t>Intercambios de opiniones y experiencias entre profesionales y expertos, exhibiciones, cóctels participativos e interesantes sesiones de networking sirvieron para debatir y encontrar estrategias y soluciones a los nuevos retos del sector que se reflejan en los proyectos que se emprenden en la actualidad. Una oportunidad visionaria para adecuarse a las futuras necesidades de la industria que se están gestando en estos momentos, que pasan inevitablemente por la transformación digital y en las que la tecnología BIM juega un importante papel.</w:t>
            </w:r>
          </w:p>
          <w:p>
            <w:pPr>
              <w:ind w:left="-284" w:right="-427"/>
              <w:jc w:val="both"/>
              <w:rPr>
                <w:rFonts/>
                <w:color w:val="262626" w:themeColor="text1" w:themeTint="D9"/>
              </w:rPr>
            </w:pPr>
            <w:r>
              <w:t>Y es que, tal y como menciona Borja Sánchez Ortega, Director de Proyectos y Director del Máster BIM Manager Internacional (+VR) de la empresa especializada Espacio BIM -www.espaciobim.com-, "BIM permite centralizar toda la información de un proyecto (geométrica, documental, etcétera) en un modelo digital desarrollado por todos los agentes que intervienen en el proyecto". Las ventajas que conlleva la apuesta por esta tecnología, entre ellas la unificación de recursos e información, la detección de posibles errores y la reducción de costes en el proceso de cualquier proyecto de edificación u obra civil, hace que cada vez más profesionales del sector AECO apuesten por especializarse en el dominio de esta herramienta y filosofía de trabajo, buscando para formarse el mejor máster BIM de los que se ofertan actualmente, como el de la mencionada Espacio BIM.</w:t>
            </w:r>
          </w:p>
          <w:p>
            <w:pPr>
              <w:ind w:left="-284" w:right="-427"/>
              <w:jc w:val="both"/>
              <w:rPr>
                <w:rFonts/>
                <w:color w:val="262626" w:themeColor="text1" w:themeTint="D9"/>
              </w:rPr>
            </w:pPr>
            <w:r>
              <w:t>Los retos en cuanto a construcción sostenible, digitalización, los próximos pasos en el empleo de estándares abiertos con BIM (OpenBIM) e interoperabilidad, la importancia de la búsqueda de la economía y la optimización en el diseño, o el valor de la información en los procesos de proyectos centraron algunas de las sesiones del pasado InfraBIM Open, un evento organizado por  las asociaciones buildingSMART de Francia y Finlandia, INDURA y MINnD, y apoyado por EGF, FNTP y Syntec Ingenierie y otros 27 patrocinadores que no dudan en colaborar con esta iniciativa anual que en pasadas ediciones se ha celebrado en la ciudad finlandesa de Tampere.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https://www.notasdeprensa.es/infrabim-open-2024-pone-los-estandares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Innovación Tecnológica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