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GSG Business Hub revela tendencias y oportunidades actuales del mercado inmobiliario comercial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que ha realizado la empresa especializada en proporcionar espacios de trabajo premium y soluciones empresariales en Madrid, desentraña las tendencias emergentes y las oportunidades de inversión que se presentan actualmente en el sector inmobiliario madrileño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GSG Business Hub, empresa líder en proporcionar espacios de trabajo premium y soluciones empresariales en Madrid, ha lanzado un innovador informe en el que se descifran las dinámicas actuales del mercado inmobiliario comercial de Madrid. Este análisis, centrado en apoyar a sus principales clientes, ofrece una visión crítica de los movimientos del mercado basada en datos de los principales portales de compra y venta de propiedades comerciales.</w:t>
            </w:r>
          </w:p>
          <w:p>
            <w:pPr>
              <w:ind w:left="-284" w:right="-427"/>
              <w:jc w:val="both"/>
              <w:rPr>
                <w:rFonts/>
                <w:color w:val="262626" w:themeColor="text1" w:themeTint="D9"/>
              </w:rPr>
            </w:pPr>
            <w:r>
              <w:t>"En GSG Business Hub, entendemos la importancia de estar al día con las tendencias del mercado. Este informe es un testimonio del compromiso de proporcionar a clientes las herramientas y la información necesarias para navegar con éxito en el mercado inmobiliario de Madrid", dice Félix Arroyo Pujol, CEO de GSG Business Hub.</w:t>
            </w:r>
          </w:p>
          <w:p>
            <w:pPr>
              <w:ind w:left="-284" w:right="-427"/>
              <w:jc w:val="both"/>
              <w:rPr>
                <w:rFonts/>
                <w:color w:val="262626" w:themeColor="text1" w:themeTint="D9"/>
              </w:rPr>
            </w:pPr>
            <w:r>
              <w:t>Análisis y datos del informeEl informe de GSG Business Hub pone de manifestación la diversificación y potencial del mercado madrileño, destacando especialmente el aumento de transacciones privadas y directas. Esta tendencia es crucial para inversores y empresas que buscan oportunidades únicas en un mercado en constante evolución.</w:t>
            </w:r>
          </w:p>
          <w:p>
            <w:pPr>
              <w:ind w:left="-284" w:right="-427"/>
              <w:jc w:val="both"/>
              <w:rPr>
                <w:rFonts/>
                <w:color w:val="262626" w:themeColor="text1" w:themeTint="D9"/>
              </w:rPr>
            </w:pPr>
            <w:r>
              <w:t>El informe arroja luz sobre las propiedades de alto valor, mostrando una variación significativa de los distritos de Madrid. Esto refleja no solo la amplitud de opciones de inversión disponibles, sino también las preferencias cambiantes en cuanto a tamaño y ubicación de las propiedades.</w:t>
            </w:r>
          </w:p>
          <w:p>
            <w:pPr>
              <w:ind w:left="-284" w:right="-427"/>
              <w:jc w:val="both"/>
              <w:rPr>
                <w:rFonts/>
                <w:color w:val="262626" w:themeColor="text1" w:themeTint="D9"/>
              </w:rPr>
            </w:pPr>
            <w:r>
              <w:t>El análisis del mercado inmobiliario de oficinas y edificios comerciales de Madrid expone que tras analizar 690 propiedades listadas. El valor promedio de estas se sitúa en 1.672.642 € y los tamaños varían hasta los 36.771 m².</w:t>
            </w:r>
          </w:p>
          <w:p>
            <w:pPr>
              <w:ind w:left="-284" w:right="-427"/>
              <w:jc w:val="both"/>
              <w:rPr>
                <w:rFonts/>
                <w:color w:val="262626" w:themeColor="text1" w:themeTint="D9"/>
              </w:rPr>
            </w:pPr>
            <w:r>
              <w:t>Entrando más en detalle, se observa que también existen variaciones significativas en los precios absolutos y los precios del m² en Madrid. De este modo, los precios absolutos de los locales van hasta los 75.000.000 €, ubicándose el precio del m² en una oscilación que va hasta los 16.129 €.</w:t>
            </w:r>
          </w:p>
          <w:p>
            <w:pPr>
              <w:ind w:left="-284" w:right="-427"/>
              <w:jc w:val="both"/>
              <w:rPr>
                <w:rFonts/>
                <w:color w:val="262626" w:themeColor="text1" w:themeTint="D9"/>
              </w:rPr>
            </w:pPr>
            <w:r>
              <w:t>En lo referente a los distritos, el de Chamartín se consolida como un eje principal en el mercado, pues se caracteriza por propiedades comerciales de alta densidad y valores que reflejan su prestigio y potencial de inversión. Como consecuencia de todo esto, es el distrito con mayor concentración de propiedades.</w:t>
            </w:r>
          </w:p>
          <w:p>
            <w:pPr>
              <w:ind w:left="-284" w:right="-427"/>
              <w:jc w:val="both"/>
              <w:rPr>
                <w:rFonts/>
                <w:color w:val="262626" w:themeColor="text1" w:themeTint="D9"/>
              </w:rPr>
            </w:pPr>
            <w:r>
              <w:t>Sobre los anunciantes y su tipología, existen hasta 288 anunciantes únicos en el conjunto de datos, reflejando así una amplia variedad de agentes y entidades participantes en el mercado inmobiliario madrileño. A tener en cuenta es que el anunciante más común es ‘Sin detalle’, por tanto, existe una predominancia de anunciantes no especificados, lo que podría ser indicativo de listados privados, directos por propietario o una falta de detalle en la entrada de datos por parte del anunciante. </w:t>
            </w:r>
          </w:p>
          <w:p>
            <w:pPr>
              <w:ind w:left="-284" w:right="-427"/>
              <w:jc w:val="both"/>
              <w:rPr>
                <w:rFonts/>
                <w:color w:val="262626" w:themeColor="text1" w:themeTint="D9"/>
              </w:rPr>
            </w:pPr>
            <w:r>
              <w:t>Por último, una de las conclusiones interesantes del informe es la identificación de oportunidades emergentes en propiedades de gran tamaño (más de &gt; 400 m²), subrayando un cambio hacia espacios de coworking y oficinas corporativas más amplias. Esta información es vital para los clientes de GSG Business Hub, pues les permite tomar decisiones informadas y desde una visión estratégica.</w:t>
            </w:r>
          </w:p>
          <w:p>
            <w:pPr>
              <w:ind w:left="-284" w:right="-427"/>
              <w:jc w:val="both"/>
              <w:rPr>
                <w:rFonts/>
                <w:color w:val="262626" w:themeColor="text1" w:themeTint="D9"/>
              </w:rPr>
            </w:pPr>
            <w:r>
              <w:t>El informe completo está disponible para los clientes de GSG Business Hub y puede ser solicitado a través del siguiente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Felix Arroyo Pujol</w:t>
      </w:r>
    </w:p>
    <w:p w:rsidR="00C31F72" w:rsidRDefault="00C31F72" w:rsidP="00AB63FE">
      <w:pPr>
        <w:pStyle w:val="Sinespaciado"/>
        <w:spacing w:line="276" w:lineRule="auto"/>
        <w:ind w:left="-284"/>
        <w:rPr>
          <w:rFonts w:ascii="Arial" w:hAnsi="Arial" w:cs="Arial"/>
        </w:rPr>
      </w:pPr>
      <w:r>
        <w:rPr>
          <w:rFonts w:ascii="Arial" w:hAnsi="Arial" w:cs="Arial"/>
        </w:rPr>
        <w:t>GSG Business Hub / CEO</w:t>
      </w:r>
    </w:p>
    <w:p w:rsidR="00AB63FE" w:rsidRDefault="00C31F72" w:rsidP="00AB63FE">
      <w:pPr>
        <w:pStyle w:val="Sinespaciado"/>
        <w:spacing w:line="276" w:lineRule="auto"/>
        <w:ind w:left="-284"/>
        <w:rPr>
          <w:rFonts w:ascii="Arial" w:hAnsi="Arial" w:cs="Arial"/>
        </w:rPr>
      </w:pPr>
      <w:r>
        <w:rPr>
          <w:rFonts w:ascii="Arial" w:hAnsi="Arial" w:cs="Arial"/>
        </w:rPr>
        <w:t>618062155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https://www.notasdeprensa.es/gsg-business-hub-revela-tendencias-y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Madrid Emprendedores Oficinas Otras Industrias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